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7F779E">
      <w:pPr>
        <w:pStyle w:val="7"/>
        <w:spacing w:line="240" w:lineRule="auto"/>
        <w:ind w:left="0"/>
        <w:jc w:val="center"/>
        <w:outlineLvl w:val="0"/>
        <w:rPr>
          <w:rFonts w:hint="eastAsia" w:ascii="方正仿宋_GBK" w:hAnsi="方正仿宋_GBK" w:eastAsia="方正仿宋_GBK" w:cs="方正仿宋_GBK"/>
          <w:b/>
          <w:snapToGrid w:val="0"/>
          <w:color w:val="000000"/>
          <w:kern w:val="0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snapToGrid w:val="0"/>
          <w:color w:val="000000"/>
          <w:kern w:val="0"/>
          <w:sz w:val="32"/>
          <w:szCs w:val="32"/>
          <w:lang w:eastAsia="zh-CN"/>
        </w:rPr>
        <w:t>租赁八颗校区学生交通车服务</w:t>
      </w:r>
    </w:p>
    <w:p w14:paraId="5B207F9B">
      <w:pPr>
        <w:pStyle w:val="7"/>
        <w:spacing w:line="240" w:lineRule="auto"/>
        <w:ind w:left="0"/>
        <w:jc w:val="center"/>
        <w:outlineLvl w:val="0"/>
        <w:rPr>
          <w:rFonts w:hint="eastAsia" w:ascii="方正仿宋_GBK" w:hAnsi="方正仿宋_GBK" w:eastAsia="方正仿宋_GBK" w:cs="方正仿宋_GBK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snapToGrid w:val="0"/>
          <w:color w:val="000000"/>
          <w:kern w:val="0"/>
          <w:sz w:val="32"/>
          <w:szCs w:val="32"/>
        </w:rPr>
        <w:t>澄清文件一号</w:t>
      </w:r>
    </w:p>
    <w:p w14:paraId="5E3D040F">
      <w:pPr>
        <w:spacing w:line="380" w:lineRule="exact"/>
        <w:ind w:firstLine="480" w:firstLineChars="200"/>
        <w:rPr>
          <w:rFonts w:hint="eastAsia" w:ascii="方正仿宋_GBK" w:hAnsi="方正仿宋_GBK" w:eastAsia="方正仿宋_GBK" w:cs="方正仿宋_GBK"/>
          <w:sz w:val="24"/>
          <w:lang w:val="zh-CN" w:eastAsia="zh-CN"/>
        </w:rPr>
      </w:pPr>
      <w:r>
        <w:rPr>
          <w:rFonts w:hint="eastAsia" w:ascii="方正仿宋_GBK" w:hAnsi="方正仿宋_GBK" w:eastAsia="方正仿宋_GBK" w:cs="方正仿宋_GBK"/>
          <w:sz w:val="24"/>
          <w:lang w:val="zh-CN" w:eastAsia="zh-CN"/>
        </w:rPr>
        <w:t>各潜在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供应商</w:t>
      </w:r>
      <w:r>
        <w:rPr>
          <w:rFonts w:hint="eastAsia" w:ascii="方正仿宋_GBK" w:hAnsi="方正仿宋_GBK" w:eastAsia="方正仿宋_GBK" w:cs="方正仿宋_GBK"/>
          <w:sz w:val="24"/>
          <w:lang w:val="zh-CN" w:eastAsia="zh-CN"/>
        </w:rPr>
        <w:t>：</w:t>
      </w:r>
    </w:p>
    <w:p w14:paraId="5B14DD79">
      <w:pPr>
        <w:spacing w:line="380" w:lineRule="exact"/>
        <w:ind w:firstLine="480" w:firstLineChars="200"/>
        <w:rPr>
          <w:rFonts w:hint="eastAsia" w:ascii="方正仿宋_GBK" w:hAnsi="方正仿宋_GBK" w:eastAsia="方正仿宋_GBK" w:cs="方正仿宋_GBK"/>
          <w:sz w:val="24"/>
          <w:lang w:val="zh-CN"/>
        </w:rPr>
      </w:pPr>
      <w:r>
        <w:rPr>
          <w:rFonts w:hint="eastAsia" w:ascii="方正仿宋_GBK" w:hAnsi="方正仿宋_GBK" w:eastAsia="方正仿宋_GBK" w:cs="方正仿宋_GBK"/>
          <w:sz w:val="24"/>
          <w:lang w:val="zh-CN"/>
        </w:rPr>
        <w:t>四川国际招标有限责任公司于 2026年3月6日发布的租赁八颗校区学生交通车服务（项目号：CQS26C00136）</w:t>
      </w:r>
      <w:r>
        <w:rPr>
          <w:rFonts w:hint="eastAsia" w:ascii="方正仿宋_GBK" w:hAnsi="方正仿宋_GBK" w:eastAsia="方正仿宋_GBK" w:cs="方正仿宋_GBK"/>
          <w:sz w:val="24"/>
          <w:lang w:val="zh-CN" w:eastAsia="zh-CN"/>
        </w:rPr>
        <w:t>竞争性谈判文件</w:t>
      </w:r>
      <w:r>
        <w:rPr>
          <w:rFonts w:hint="eastAsia" w:ascii="方正仿宋_GBK" w:hAnsi="方正仿宋_GBK" w:eastAsia="方正仿宋_GBK" w:cs="方正仿宋_GBK"/>
          <w:sz w:val="24"/>
          <w:lang w:val="zh-CN"/>
        </w:rPr>
        <w:t>现作如下澄清：</w:t>
      </w:r>
    </w:p>
    <w:p w14:paraId="53BF72CA">
      <w:pPr>
        <w:pStyle w:val="2"/>
        <w:spacing w:before="0" w:after="0" w:line="360" w:lineRule="auto"/>
        <w:ind w:firstLine="482" w:firstLineChars="200"/>
        <w:jc w:val="both"/>
        <w:rPr>
          <w:rFonts w:hint="eastAsia" w:ascii="方正仿宋_GBK" w:hAnsi="方正仿宋_GBK" w:eastAsia="方正仿宋_GBK" w:cs="方正仿宋_GBK"/>
          <w:color w:val="auto"/>
          <w:sz w:val="24"/>
        </w:rPr>
      </w:pPr>
      <w:r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  <w:t>（一）原</w:t>
      </w:r>
      <w:bookmarkStart w:id="0" w:name="_Toc76462332"/>
      <w:bookmarkStart w:id="1" w:name="_Toc20462"/>
      <w:bookmarkStart w:id="2" w:name="_Toc76462334"/>
      <w:bookmarkStart w:id="3" w:name="_Toc27945"/>
      <w:r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  <w:t>竞争性谈判文件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</w:rPr>
        <w:t>第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val="en-US" w:eastAsia="zh-CN"/>
        </w:rPr>
        <w:t>一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</w:rPr>
        <w:t>篇</w:t>
      </w:r>
      <w:r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  <w:t>“</w:t>
      </w:r>
      <w:bookmarkStart w:id="4" w:name="_Toc24173"/>
      <w:bookmarkStart w:id="5" w:name="_Toc65660329"/>
      <w:bookmarkStart w:id="6" w:name="_Toc30452"/>
      <w:bookmarkStart w:id="7" w:name="_Toc15726"/>
      <w:bookmarkStart w:id="8" w:name="_Toc12789052"/>
      <w:bookmarkStart w:id="9" w:name="_Toc11275"/>
      <w:bookmarkStart w:id="10" w:name="_Toc11641050"/>
      <w:r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  <w:t>竞争性谈判邀请书</w:t>
      </w:r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eastAsia="zh-CN"/>
        </w:rPr>
        <w:t>”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val="en-US" w:eastAsia="zh-CN"/>
        </w:rPr>
        <w:t>中“一、竞争性谈判内容”</w:t>
      </w:r>
      <w:bookmarkEnd w:id="0"/>
      <w:bookmarkEnd w:id="1"/>
      <w:bookmarkEnd w:id="2"/>
      <w:bookmarkEnd w:id="3"/>
    </w:p>
    <w:tbl>
      <w:tblPr>
        <w:tblStyle w:val="12"/>
        <w:tblW w:w="499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1"/>
        <w:gridCol w:w="1370"/>
        <w:gridCol w:w="1281"/>
        <w:gridCol w:w="1101"/>
        <w:gridCol w:w="1262"/>
        <w:gridCol w:w="2699"/>
      </w:tblGrid>
      <w:tr w14:paraId="3C7DD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2261" w:type="dxa"/>
            <w:noWrap w:val="0"/>
            <w:vAlign w:val="center"/>
          </w:tcPr>
          <w:p w14:paraId="02E823B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1307" w:type="dxa"/>
            <w:noWrap w:val="0"/>
            <w:vAlign w:val="center"/>
          </w:tcPr>
          <w:p w14:paraId="4DF447BA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最高限价</w:t>
            </w:r>
          </w:p>
          <w:p w14:paraId="025A5F59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（万元）</w:t>
            </w:r>
          </w:p>
        </w:tc>
        <w:tc>
          <w:tcPr>
            <w:tcW w:w="1222" w:type="dxa"/>
            <w:noWrap w:val="0"/>
            <w:vAlign w:val="center"/>
          </w:tcPr>
          <w:p w14:paraId="308755C3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单趟往返最高限价（元/趟）</w:t>
            </w:r>
          </w:p>
        </w:tc>
        <w:tc>
          <w:tcPr>
            <w:tcW w:w="1050" w:type="dxa"/>
            <w:noWrap w:val="0"/>
            <w:vAlign w:val="center"/>
          </w:tcPr>
          <w:p w14:paraId="39108EE7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谈判保证金</w:t>
            </w:r>
          </w:p>
          <w:p w14:paraId="55EDB40C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（万元）</w:t>
            </w:r>
          </w:p>
        </w:tc>
        <w:tc>
          <w:tcPr>
            <w:tcW w:w="1204" w:type="dxa"/>
            <w:noWrap w:val="0"/>
            <w:vAlign w:val="center"/>
          </w:tcPr>
          <w:p w14:paraId="0D5EE162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成交供应商数量（名）</w:t>
            </w:r>
          </w:p>
        </w:tc>
        <w:tc>
          <w:tcPr>
            <w:tcW w:w="2574" w:type="dxa"/>
            <w:noWrap w:val="0"/>
            <w:vAlign w:val="center"/>
          </w:tcPr>
          <w:p w14:paraId="65E9D9DE">
            <w:pPr>
              <w:pStyle w:val="7"/>
              <w:spacing w:line="240" w:lineRule="auto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1"/>
                <w:szCs w:val="21"/>
              </w:rPr>
              <w:t>采购标的对应的中小企业划分标准所属行业</w:t>
            </w:r>
          </w:p>
        </w:tc>
      </w:tr>
      <w:tr w14:paraId="2820B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61" w:type="dxa"/>
            <w:noWrap w:val="0"/>
            <w:vAlign w:val="center"/>
          </w:tcPr>
          <w:p w14:paraId="22162AE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1"/>
                <w:szCs w:val="21"/>
              </w:rPr>
              <w:t xml:space="preserve">  租赁八颗校区学生交通车服务  </w:t>
            </w:r>
          </w:p>
        </w:tc>
        <w:tc>
          <w:tcPr>
            <w:tcW w:w="1307" w:type="dxa"/>
            <w:noWrap w:val="0"/>
            <w:vAlign w:val="center"/>
          </w:tcPr>
          <w:p w14:paraId="11F872B4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100</w:t>
            </w:r>
          </w:p>
        </w:tc>
        <w:tc>
          <w:tcPr>
            <w:tcW w:w="1222" w:type="dxa"/>
            <w:noWrap w:val="0"/>
            <w:vAlign w:val="center"/>
          </w:tcPr>
          <w:p w14:paraId="6291B490">
            <w:pPr>
              <w:pStyle w:val="4"/>
              <w:spacing w:line="400" w:lineRule="exac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100</w:t>
            </w:r>
          </w:p>
        </w:tc>
        <w:tc>
          <w:tcPr>
            <w:tcW w:w="1050" w:type="dxa"/>
            <w:noWrap w:val="0"/>
            <w:vAlign w:val="center"/>
          </w:tcPr>
          <w:p w14:paraId="38CD69A0">
            <w:pPr>
              <w:pStyle w:val="4"/>
              <w:spacing w:line="400" w:lineRule="exac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2</w:t>
            </w:r>
          </w:p>
        </w:tc>
        <w:tc>
          <w:tcPr>
            <w:tcW w:w="1204" w:type="dxa"/>
            <w:noWrap w:val="0"/>
            <w:vAlign w:val="center"/>
          </w:tcPr>
          <w:p w14:paraId="2493F489">
            <w:pPr>
              <w:pStyle w:val="4"/>
              <w:spacing w:line="400" w:lineRule="exac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1</w:t>
            </w:r>
          </w:p>
        </w:tc>
        <w:tc>
          <w:tcPr>
            <w:tcW w:w="2574" w:type="dxa"/>
            <w:noWrap w:val="0"/>
            <w:vAlign w:val="center"/>
          </w:tcPr>
          <w:p w14:paraId="35C343CC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交通运输业</w:t>
            </w:r>
          </w:p>
        </w:tc>
      </w:tr>
    </w:tbl>
    <w:p w14:paraId="0E446322">
      <w:pPr>
        <w:spacing w:line="380" w:lineRule="exact"/>
        <w:ind w:firstLine="482" w:firstLineChars="200"/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  <w:t>修改为:</w:t>
      </w:r>
    </w:p>
    <w:tbl>
      <w:tblPr>
        <w:tblStyle w:val="12"/>
        <w:tblW w:w="499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1"/>
        <w:gridCol w:w="1370"/>
        <w:gridCol w:w="1281"/>
        <w:gridCol w:w="1101"/>
        <w:gridCol w:w="1262"/>
        <w:gridCol w:w="2699"/>
      </w:tblGrid>
      <w:tr w14:paraId="6F5A1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2261" w:type="dxa"/>
            <w:noWrap w:val="0"/>
            <w:vAlign w:val="center"/>
          </w:tcPr>
          <w:p w14:paraId="29F69A7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1307" w:type="dxa"/>
            <w:noWrap w:val="0"/>
            <w:vAlign w:val="center"/>
          </w:tcPr>
          <w:p w14:paraId="328E3E50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最高限价</w:t>
            </w:r>
          </w:p>
          <w:p w14:paraId="1FACB55A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（万元）</w:t>
            </w:r>
          </w:p>
        </w:tc>
        <w:tc>
          <w:tcPr>
            <w:tcW w:w="1222" w:type="dxa"/>
            <w:noWrap w:val="0"/>
            <w:vAlign w:val="center"/>
          </w:tcPr>
          <w:p w14:paraId="3770C896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FF0000"/>
                <w:sz w:val="21"/>
                <w:szCs w:val="21"/>
              </w:rPr>
              <w:t>单趟往</w:t>
            </w:r>
            <w:r>
              <w:rPr>
                <w:rFonts w:hint="eastAsia" w:ascii="方正仿宋_GBK" w:hAnsi="方正仿宋_GBK" w:eastAsia="方正仿宋_GBK" w:cs="方正仿宋_GBK"/>
                <w:b/>
                <w:color w:val="FF0000"/>
                <w:sz w:val="21"/>
                <w:szCs w:val="21"/>
                <w:lang w:val="en-US" w:eastAsia="zh-CN"/>
              </w:rPr>
              <w:t>或</w:t>
            </w:r>
            <w:r>
              <w:rPr>
                <w:rFonts w:hint="eastAsia" w:ascii="方正仿宋_GBK" w:hAnsi="方正仿宋_GBK" w:eastAsia="方正仿宋_GBK" w:cs="方正仿宋_GBK"/>
                <w:b/>
                <w:color w:val="FF0000"/>
                <w:sz w:val="21"/>
                <w:szCs w:val="21"/>
              </w:rPr>
              <w:t>返最高限价（元/趟）</w:t>
            </w:r>
          </w:p>
        </w:tc>
        <w:tc>
          <w:tcPr>
            <w:tcW w:w="1050" w:type="dxa"/>
            <w:noWrap w:val="0"/>
            <w:vAlign w:val="center"/>
          </w:tcPr>
          <w:p w14:paraId="6D70289F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谈判保证金</w:t>
            </w:r>
          </w:p>
          <w:p w14:paraId="0697449B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（万元）</w:t>
            </w:r>
          </w:p>
        </w:tc>
        <w:tc>
          <w:tcPr>
            <w:tcW w:w="1204" w:type="dxa"/>
            <w:noWrap w:val="0"/>
            <w:vAlign w:val="center"/>
          </w:tcPr>
          <w:p w14:paraId="5CE5F14B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成交供应商数量（名）</w:t>
            </w:r>
          </w:p>
        </w:tc>
        <w:tc>
          <w:tcPr>
            <w:tcW w:w="2574" w:type="dxa"/>
            <w:noWrap w:val="0"/>
            <w:vAlign w:val="center"/>
          </w:tcPr>
          <w:p w14:paraId="51C83A04">
            <w:pPr>
              <w:pStyle w:val="7"/>
              <w:spacing w:line="240" w:lineRule="auto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1"/>
                <w:szCs w:val="21"/>
              </w:rPr>
              <w:t>采购标的对应的中小企业划分标准所属行业</w:t>
            </w:r>
          </w:p>
        </w:tc>
      </w:tr>
      <w:tr w14:paraId="5E24B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61" w:type="dxa"/>
            <w:noWrap w:val="0"/>
            <w:vAlign w:val="center"/>
          </w:tcPr>
          <w:p w14:paraId="1EE5CE1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1"/>
                <w:szCs w:val="21"/>
              </w:rPr>
              <w:t xml:space="preserve">  租赁八颗校区学生交通车服务  </w:t>
            </w:r>
          </w:p>
        </w:tc>
        <w:tc>
          <w:tcPr>
            <w:tcW w:w="1307" w:type="dxa"/>
            <w:noWrap w:val="0"/>
            <w:vAlign w:val="center"/>
          </w:tcPr>
          <w:p w14:paraId="2313A89B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100</w:t>
            </w:r>
          </w:p>
        </w:tc>
        <w:tc>
          <w:tcPr>
            <w:tcW w:w="1222" w:type="dxa"/>
            <w:noWrap w:val="0"/>
            <w:vAlign w:val="center"/>
          </w:tcPr>
          <w:p w14:paraId="4496BDEB">
            <w:pPr>
              <w:pStyle w:val="4"/>
              <w:spacing w:line="400" w:lineRule="exac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100</w:t>
            </w:r>
          </w:p>
        </w:tc>
        <w:tc>
          <w:tcPr>
            <w:tcW w:w="1050" w:type="dxa"/>
            <w:noWrap w:val="0"/>
            <w:vAlign w:val="center"/>
          </w:tcPr>
          <w:p w14:paraId="428CD262">
            <w:pPr>
              <w:pStyle w:val="4"/>
              <w:spacing w:line="400" w:lineRule="exac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2</w:t>
            </w:r>
          </w:p>
        </w:tc>
        <w:tc>
          <w:tcPr>
            <w:tcW w:w="1204" w:type="dxa"/>
            <w:noWrap w:val="0"/>
            <w:vAlign w:val="center"/>
          </w:tcPr>
          <w:p w14:paraId="3FD9CC0E">
            <w:pPr>
              <w:pStyle w:val="4"/>
              <w:spacing w:line="400" w:lineRule="exac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1</w:t>
            </w:r>
          </w:p>
        </w:tc>
        <w:tc>
          <w:tcPr>
            <w:tcW w:w="2574" w:type="dxa"/>
            <w:noWrap w:val="0"/>
            <w:vAlign w:val="center"/>
          </w:tcPr>
          <w:p w14:paraId="4D867ACE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交通运输业</w:t>
            </w:r>
          </w:p>
        </w:tc>
      </w:tr>
    </w:tbl>
    <w:p w14:paraId="3C69C497">
      <w:pPr>
        <w:spacing w:line="380" w:lineRule="exact"/>
        <w:ind w:firstLine="482" w:firstLineChars="200"/>
        <w:rPr>
          <w:rFonts w:hint="eastAsia" w:ascii="方正仿宋_GBK" w:hAnsi="方正仿宋_GBK" w:eastAsia="方正仿宋_GBK" w:cs="方正仿宋_GBK"/>
          <w:color w:val="auto"/>
          <w:sz w:val="24"/>
        </w:rPr>
      </w:pPr>
      <w:r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  <w:t>（二）原竞争性谈判文件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</w:rPr>
        <w:t>第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val="en-US" w:eastAsia="zh-CN"/>
        </w:rPr>
        <w:t>二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</w:rPr>
        <w:t>篇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eastAsia="zh-CN"/>
        </w:rPr>
        <w:t>“谈判项目技术（质量）需求”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val="en-US" w:eastAsia="zh-CN"/>
        </w:rPr>
        <w:t>中“</w:t>
      </w:r>
      <w:bookmarkStart w:id="11" w:name="_Toc13637"/>
      <w:bookmarkStart w:id="12" w:name="_Toc22032"/>
      <w:bookmarkStart w:id="13" w:name="_Toc15222"/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val="en-US" w:eastAsia="zh-CN"/>
        </w:rPr>
        <w:t>※一、项目一览表</w:t>
      </w:r>
      <w:bookmarkEnd w:id="11"/>
      <w:bookmarkEnd w:id="12"/>
      <w:bookmarkEnd w:id="13"/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val="en-US" w:eastAsia="zh-CN"/>
        </w:rPr>
        <w:t>”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6"/>
        <w:gridCol w:w="1996"/>
        <w:gridCol w:w="886"/>
        <w:gridCol w:w="929"/>
        <w:gridCol w:w="1885"/>
        <w:gridCol w:w="1593"/>
      </w:tblGrid>
      <w:tr w14:paraId="78A92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388" w:type="pct"/>
            <w:noWrap w:val="0"/>
            <w:vAlign w:val="center"/>
          </w:tcPr>
          <w:p w14:paraId="342F2E41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标的名称</w:t>
            </w:r>
          </w:p>
        </w:tc>
        <w:tc>
          <w:tcPr>
            <w:tcW w:w="988" w:type="pct"/>
            <w:noWrap w:val="0"/>
            <w:vAlign w:val="center"/>
          </w:tcPr>
          <w:p w14:paraId="181B2958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单价限价（元）</w:t>
            </w:r>
          </w:p>
        </w:tc>
        <w:tc>
          <w:tcPr>
            <w:tcW w:w="439" w:type="pct"/>
            <w:noWrap w:val="0"/>
            <w:vAlign w:val="center"/>
          </w:tcPr>
          <w:p w14:paraId="6F9776E3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预估数量</w:t>
            </w:r>
          </w:p>
        </w:tc>
        <w:tc>
          <w:tcPr>
            <w:tcW w:w="460" w:type="pct"/>
            <w:noWrap w:val="0"/>
            <w:vAlign w:val="center"/>
          </w:tcPr>
          <w:p w14:paraId="16E63B6D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934" w:type="pct"/>
            <w:noWrap w:val="0"/>
            <w:vAlign w:val="center"/>
          </w:tcPr>
          <w:p w14:paraId="1072E7E5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最高限价（元）</w:t>
            </w:r>
          </w:p>
        </w:tc>
        <w:tc>
          <w:tcPr>
            <w:tcW w:w="788" w:type="pct"/>
            <w:noWrap w:val="0"/>
            <w:vAlign w:val="center"/>
          </w:tcPr>
          <w:p w14:paraId="13E35C36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是否进口</w:t>
            </w:r>
          </w:p>
        </w:tc>
      </w:tr>
      <w:tr w14:paraId="2E2EB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388" w:type="pct"/>
            <w:noWrap w:val="0"/>
            <w:vAlign w:val="center"/>
          </w:tcPr>
          <w:p w14:paraId="578698C7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 xml:space="preserve"> 租赁八颗校区学生交通车服务  </w:t>
            </w:r>
          </w:p>
        </w:tc>
        <w:tc>
          <w:tcPr>
            <w:tcW w:w="988" w:type="pct"/>
            <w:noWrap w:val="0"/>
            <w:vAlign w:val="center"/>
          </w:tcPr>
          <w:p w14:paraId="2434184E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1"/>
                <w:szCs w:val="21"/>
                <w:lang w:bidi="ar"/>
              </w:rPr>
              <w:t>100</w:t>
            </w:r>
          </w:p>
        </w:tc>
        <w:tc>
          <w:tcPr>
            <w:tcW w:w="439" w:type="pct"/>
            <w:noWrap w:val="0"/>
            <w:vAlign w:val="center"/>
          </w:tcPr>
          <w:p w14:paraId="58BC5AAD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1"/>
                <w:szCs w:val="21"/>
                <w:lang w:bidi="ar"/>
              </w:rPr>
              <w:t>10000</w:t>
            </w:r>
          </w:p>
        </w:tc>
        <w:tc>
          <w:tcPr>
            <w:tcW w:w="460" w:type="pct"/>
            <w:noWrap w:val="0"/>
            <w:vAlign w:val="center"/>
          </w:tcPr>
          <w:p w14:paraId="62570312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1"/>
                <w:szCs w:val="21"/>
                <w:lang w:bidi="ar"/>
              </w:rPr>
              <w:t>（趟）</w:t>
            </w:r>
          </w:p>
        </w:tc>
        <w:tc>
          <w:tcPr>
            <w:tcW w:w="934" w:type="pct"/>
            <w:noWrap w:val="0"/>
            <w:vAlign w:val="center"/>
          </w:tcPr>
          <w:p w14:paraId="7A1BF408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 xml:space="preserve">1000000 </w:t>
            </w:r>
          </w:p>
        </w:tc>
        <w:tc>
          <w:tcPr>
            <w:tcW w:w="788" w:type="pct"/>
            <w:noWrap w:val="0"/>
            <w:vAlign w:val="center"/>
          </w:tcPr>
          <w:p w14:paraId="65780DD3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1"/>
                <w:szCs w:val="21"/>
                <w:lang w:bidi="ar"/>
              </w:rPr>
              <w:t>否</w:t>
            </w:r>
          </w:p>
        </w:tc>
      </w:tr>
      <w:tr w14:paraId="7D947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388" w:type="pct"/>
            <w:noWrap w:val="0"/>
            <w:vAlign w:val="center"/>
          </w:tcPr>
          <w:p w14:paraId="23B90027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bidi="ar"/>
              </w:rPr>
            </w:pPr>
            <w:bookmarkStart w:id="14" w:name="_Toc17589"/>
            <w:bookmarkStart w:id="15" w:name="_Toc13997"/>
            <w:bookmarkStart w:id="16" w:name="_Toc857"/>
            <w:bookmarkStart w:id="17" w:name="_Toc30505"/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采购内容</w:t>
            </w:r>
          </w:p>
        </w:tc>
        <w:tc>
          <w:tcPr>
            <w:tcW w:w="988" w:type="pct"/>
            <w:noWrap w:val="0"/>
            <w:vAlign w:val="center"/>
          </w:tcPr>
          <w:p w14:paraId="47BCBCA2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车辆性质</w:t>
            </w:r>
          </w:p>
        </w:tc>
        <w:tc>
          <w:tcPr>
            <w:tcW w:w="439" w:type="pct"/>
            <w:noWrap w:val="0"/>
            <w:vAlign w:val="center"/>
          </w:tcPr>
          <w:p w14:paraId="317195E1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数量</w:t>
            </w:r>
          </w:p>
        </w:tc>
        <w:tc>
          <w:tcPr>
            <w:tcW w:w="460" w:type="pct"/>
            <w:noWrap w:val="0"/>
            <w:vAlign w:val="center"/>
          </w:tcPr>
          <w:p w14:paraId="240B859B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单位</w:t>
            </w:r>
          </w:p>
        </w:tc>
        <w:tc>
          <w:tcPr>
            <w:tcW w:w="1723" w:type="pct"/>
            <w:gridSpan w:val="2"/>
            <w:noWrap w:val="0"/>
            <w:vAlign w:val="center"/>
          </w:tcPr>
          <w:p w14:paraId="66495304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备注</w:t>
            </w:r>
          </w:p>
        </w:tc>
      </w:tr>
      <w:tr w14:paraId="67953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388" w:type="pct"/>
            <w:noWrap w:val="0"/>
            <w:vAlign w:val="center"/>
          </w:tcPr>
          <w:p w14:paraId="4E711F88">
            <w:pPr>
              <w:pStyle w:val="4"/>
              <w:spacing w:line="240" w:lineRule="atLeas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学生交通车</w:t>
            </w:r>
          </w:p>
          <w:p w14:paraId="42BA43B1">
            <w:pPr>
              <w:pStyle w:val="4"/>
              <w:spacing w:line="240" w:lineRule="atLeas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往返</w:t>
            </w:r>
          </w:p>
        </w:tc>
        <w:tc>
          <w:tcPr>
            <w:tcW w:w="988" w:type="pct"/>
            <w:noWrap w:val="0"/>
            <w:vAlign w:val="center"/>
          </w:tcPr>
          <w:p w14:paraId="6B1B2654">
            <w:pPr>
              <w:pStyle w:val="4"/>
              <w:spacing w:line="240" w:lineRule="atLeas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核载人数为48人以上</w:t>
            </w:r>
          </w:p>
        </w:tc>
        <w:tc>
          <w:tcPr>
            <w:tcW w:w="439" w:type="pct"/>
            <w:noWrap w:val="0"/>
            <w:vAlign w:val="center"/>
          </w:tcPr>
          <w:p w14:paraId="74A80560">
            <w:pPr>
              <w:pStyle w:val="4"/>
              <w:spacing w:line="240" w:lineRule="atLeas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1</w:t>
            </w:r>
          </w:p>
        </w:tc>
        <w:tc>
          <w:tcPr>
            <w:tcW w:w="460" w:type="pct"/>
            <w:noWrap w:val="0"/>
            <w:vAlign w:val="center"/>
          </w:tcPr>
          <w:p w14:paraId="694C2A67">
            <w:pPr>
              <w:pStyle w:val="4"/>
              <w:spacing w:line="240" w:lineRule="atLeas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1"/>
                <w:szCs w:val="21"/>
                <w:lang w:bidi="ar"/>
              </w:rPr>
              <w:t>（趟）</w:t>
            </w:r>
          </w:p>
        </w:tc>
        <w:tc>
          <w:tcPr>
            <w:tcW w:w="1723" w:type="pct"/>
            <w:gridSpan w:val="2"/>
            <w:noWrap w:val="0"/>
            <w:vAlign w:val="center"/>
          </w:tcPr>
          <w:p w14:paraId="03C7E199">
            <w:pPr>
              <w:pStyle w:val="4"/>
              <w:spacing w:line="240" w:lineRule="atLeast"/>
              <w:ind w:firstLine="0"/>
              <w:jc w:val="left"/>
              <w:outlineLvl w:val="0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一个往返为一趟。服务时限1年，每月按单价乘实际数量据实结算。</w:t>
            </w:r>
          </w:p>
        </w:tc>
      </w:tr>
      <w:bookmarkEnd w:id="14"/>
      <w:bookmarkEnd w:id="15"/>
      <w:bookmarkEnd w:id="16"/>
      <w:bookmarkEnd w:id="17"/>
    </w:tbl>
    <w:p w14:paraId="5005586E">
      <w:pPr>
        <w:spacing w:line="380" w:lineRule="exact"/>
        <w:ind w:firstLine="482" w:firstLineChars="200"/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  <w:t>修改为: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6"/>
        <w:gridCol w:w="1996"/>
        <w:gridCol w:w="886"/>
        <w:gridCol w:w="929"/>
        <w:gridCol w:w="1885"/>
        <w:gridCol w:w="1593"/>
      </w:tblGrid>
      <w:tr w14:paraId="766B8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388" w:type="pct"/>
            <w:noWrap w:val="0"/>
            <w:vAlign w:val="center"/>
          </w:tcPr>
          <w:p w14:paraId="12099F13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标的名称</w:t>
            </w:r>
          </w:p>
        </w:tc>
        <w:tc>
          <w:tcPr>
            <w:tcW w:w="988" w:type="pct"/>
            <w:noWrap w:val="0"/>
            <w:vAlign w:val="center"/>
          </w:tcPr>
          <w:p w14:paraId="01389DC6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单价限价（元）</w:t>
            </w:r>
          </w:p>
        </w:tc>
        <w:tc>
          <w:tcPr>
            <w:tcW w:w="439" w:type="pct"/>
            <w:noWrap w:val="0"/>
            <w:vAlign w:val="center"/>
          </w:tcPr>
          <w:p w14:paraId="538D63C3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预估数量</w:t>
            </w:r>
          </w:p>
        </w:tc>
        <w:tc>
          <w:tcPr>
            <w:tcW w:w="460" w:type="pct"/>
            <w:noWrap w:val="0"/>
            <w:vAlign w:val="center"/>
          </w:tcPr>
          <w:p w14:paraId="686945DC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934" w:type="pct"/>
            <w:noWrap w:val="0"/>
            <w:vAlign w:val="center"/>
          </w:tcPr>
          <w:p w14:paraId="2787E64D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最高限价（元）</w:t>
            </w:r>
          </w:p>
        </w:tc>
        <w:tc>
          <w:tcPr>
            <w:tcW w:w="788" w:type="pct"/>
            <w:noWrap w:val="0"/>
            <w:vAlign w:val="center"/>
          </w:tcPr>
          <w:p w14:paraId="4A490ADE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kern w:val="0"/>
                <w:sz w:val="22"/>
                <w:szCs w:val="22"/>
                <w:lang w:bidi="ar"/>
              </w:rPr>
              <w:t>是否进口</w:t>
            </w:r>
          </w:p>
        </w:tc>
      </w:tr>
      <w:tr w14:paraId="2EDF8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388" w:type="pct"/>
            <w:noWrap w:val="0"/>
            <w:vAlign w:val="center"/>
          </w:tcPr>
          <w:p w14:paraId="768098CB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 xml:space="preserve"> 租赁八颗校区学生交通车服务  </w:t>
            </w:r>
          </w:p>
        </w:tc>
        <w:tc>
          <w:tcPr>
            <w:tcW w:w="988" w:type="pct"/>
            <w:noWrap w:val="0"/>
            <w:vAlign w:val="center"/>
          </w:tcPr>
          <w:p w14:paraId="14BFAEBA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1"/>
                <w:szCs w:val="21"/>
                <w:lang w:bidi="ar"/>
              </w:rPr>
              <w:t>100</w:t>
            </w:r>
          </w:p>
        </w:tc>
        <w:tc>
          <w:tcPr>
            <w:tcW w:w="439" w:type="pct"/>
            <w:noWrap w:val="0"/>
            <w:vAlign w:val="center"/>
          </w:tcPr>
          <w:p w14:paraId="2A2CEEB0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1"/>
                <w:szCs w:val="21"/>
                <w:lang w:bidi="ar"/>
              </w:rPr>
              <w:t>10000</w:t>
            </w:r>
          </w:p>
        </w:tc>
        <w:tc>
          <w:tcPr>
            <w:tcW w:w="460" w:type="pct"/>
            <w:noWrap w:val="0"/>
            <w:vAlign w:val="center"/>
          </w:tcPr>
          <w:p w14:paraId="50DC466E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1"/>
                <w:szCs w:val="21"/>
                <w:lang w:bidi="ar"/>
              </w:rPr>
              <w:t>（趟）</w:t>
            </w:r>
          </w:p>
        </w:tc>
        <w:tc>
          <w:tcPr>
            <w:tcW w:w="934" w:type="pct"/>
            <w:noWrap w:val="0"/>
            <w:vAlign w:val="center"/>
          </w:tcPr>
          <w:p w14:paraId="78F0951D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 xml:space="preserve">1000000 </w:t>
            </w:r>
          </w:p>
        </w:tc>
        <w:tc>
          <w:tcPr>
            <w:tcW w:w="788" w:type="pct"/>
            <w:noWrap w:val="0"/>
            <w:vAlign w:val="center"/>
          </w:tcPr>
          <w:p w14:paraId="7AEB4FDF">
            <w:pPr>
              <w:widowControl/>
              <w:wordWrap w:val="0"/>
              <w:spacing w:line="330" w:lineRule="atLeas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1"/>
                <w:szCs w:val="21"/>
                <w:lang w:bidi="ar"/>
              </w:rPr>
              <w:t>否</w:t>
            </w:r>
          </w:p>
        </w:tc>
      </w:tr>
      <w:tr w14:paraId="1977D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388" w:type="pct"/>
            <w:noWrap w:val="0"/>
            <w:vAlign w:val="center"/>
          </w:tcPr>
          <w:p w14:paraId="7A202D0F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采购内容</w:t>
            </w:r>
          </w:p>
        </w:tc>
        <w:tc>
          <w:tcPr>
            <w:tcW w:w="988" w:type="pct"/>
            <w:noWrap w:val="0"/>
            <w:vAlign w:val="center"/>
          </w:tcPr>
          <w:p w14:paraId="21E72C7B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车辆性质</w:t>
            </w:r>
          </w:p>
        </w:tc>
        <w:tc>
          <w:tcPr>
            <w:tcW w:w="439" w:type="pct"/>
            <w:noWrap w:val="0"/>
            <w:vAlign w:val="center"/>
          </w:tcPr>
          <w:p w14:paraId="53AB1481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数量</w:t>
            </w:r>
          </w:p>
        </w:tc>
        <w:tc>
          <w:tcPr>
            <w:tcW w:w="460" w:type="pct"/>
            <w:noWrap w:val="0"/>
            <w:vAlign w:val="center"/>
          </w:tcPr>
          <w:p w14:paraId="668E160E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单位</w:t>
            </w:r>
          </w:p>
        </w:tc>
        <w:tc>
          <w:tcPr>
            <w:tcW w:w="1723" w:type="pct"/>
            <w:gridSpan w:val="2"/>
            <w:noWrap w:val="0"/>
            <w:vAlign w:val="center"/>
          </w:tcPr>
          <w:p w14:paraId="4F12289E">
            <w:pPr>
              <w:pStyle w:val="7"/>
              <w:spacing w:line="240" w:lineRule="atLeast"/>
              <w:ind w:left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1"/>
                <w:szCs w:val="21"/>
              </w:rPr>
              <w:t>备注</w:t>
            </w:r>
          </w:p>
        </w:tc>
      </w:tr>
      <w:tr w14:paraId="1E5D7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388" w:type="pct"/>
            <w:noWrap w:val="0"/>
            <w:vAlign w:val="center"/>
          </w:tcPr>
          <w:p w14:paraId="5D5ABB3C">
            <w:pPr>
              <w:pStyle w:val="4"/>
              <w:spacing w:line="240" w:lineRule="atLeas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</w:rPr>
              <w:t>学生交通车</w:t>
            </w:r>
          </w:p>
          <w:p w14:paraId="464208A5">
            <w:pPr>
              <w:pStyle w:val="4"/>
              <w:spacing w:line="240" w:lineRule="atLeas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</w:rPr>
              <w:t>往</w:t>
            </w: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>或</w:t>
            </w: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</w:rPr>
              <w:t>返</w:t>
            </w:r>
          </w:p>
        </w:tc>
        <w:tc>
          <w:tcPr>
            <w:tcW w:w="988" w:type="pct"/>
            <w:noWrap w:val="0"/>
            <w:vAlign w:val="center"/>
          </w:tcPr>
          <w:p w14:paraId="302CDA81">
            <w:pPr>
              <w:pStyle w:val="4"/>
              <w:spacing w:line="240" w:lineRule="atLeas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核载人数为48人以上</w:t>
            </w:r>
          </w:p>
        </w:tc>
        <w:tc>
          <w:tcPr>
            <w:tcW w:w="439" w:type="pct"/>
            <w:noWrap w:val="0"/>
            <w:vAlign w:val="center"/>
          </w:tcPr>
          <w:p w14:paraId="3E31A3C3">
            <w:pPr>
              <w:pStyle w:val="4"/>
              <w:spacing w:line="240" w:lineRule="atLeas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</w:rPr>
              <w:t>1</w:t>
            </w:r>
          </w:p>
        </w:tc>
        <w:tc>
          <w:tcPr>
            <w:tcW w:w="460" w:type="pct"/>
            <w:noWrap w:val="0"/>
            <w:vAlign w:val="center"/>
          </w:tcPr>
          <w:p w14:paraId="497FCA0B">
            <w:pPr>
              <w:pStyle w:val="4"/>
              <w:spacing w:line="240" w:lineRule="atLeast"/>
              <w:ind w:firstLine="0"/>
              <w:jc w:val="center"/>
              <w:outlineLvl w:val="0"/>
              <w:rPr>
                <w:rFonts w:hint="eastAsia" w:ascii="方正仿宋_GBK" w:hAnsi="方正仿宋_GBK" w:eastAsia="方正仿宋_GBK" w:cs="方正仿宋_GBK"/>
                <w:color w:val="auto"/>
                <w:kern w:val="0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1"/>
                <w:szCs w:val="21"/>
                <w:lang w:bidi="ar"/>
              </w:rPr>
              <w:t>（趟）</w:t>
            </w:r>
          </w:p>
        </w:tc>
        <w:tc>
          <w:tcPr>
            <w:tcW w:w="1723" w:type="pct"/>
            <w:gridSpan w:val="2"/>
            <w:noWrap w:val="0"/>
            <w:vAlign w:val="center"/>
          </w:tcPr>
          <w:p w14:paraId="521C8AC4">
            <w:pPr>
              <w:pStyle w:val="4"/>
              <w:spacing w:line="240" w:lineRule="atLeast"/>
              <w:ind w:firstLine="0"/>
              <w:jc w:val="left"/>
              <w:outlineLvl w:val="0"/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</w:rPr>
              <w:t>一个往</w:t>
            </w: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>或</w:t>
            </w: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</w:rPr>
              <w:t>返为一趟。服务时限1年，每月按单价乘实际数量据实结算。</w:t>
            </w:r>
          </w:p>
        </w:tc>
      </w:tr>
    </w:tbl>
    <w:p w14:paraId="46D5E863">
      <w:pPr>
        <w:spacing w:line="380" w:lineRule="exact"/>
        <w:ind w:firstLine="482" w:firstLineChars="200"/>
        <w:rPr>
          <w:rFonts w:hint="eastAsia" w:ascii="方正仿宋_GBK" w:hAnsi="方正仿宋_GBK" w:eastAsia="方正仿宋_GBK" w:cs="方正仿宋_GBK"/>
          <w:color w:val="auto"/>
          <w:sz w:val="24"/>
        </w:rPr>
      </w:pPr>
      <w:r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  <w:t>（三）原竞争性谈判文件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</w:rPr>
        <w:t>第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val="en-US" w:eastAsia="zh-CN"/>
        </w:rPr>
        <w:t>三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</w:rPr>
        <w:t>篇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eastAsia="zh-CN"/>
        </w:rPr>
        <w:t>“谈判项目商务需求”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val="en-US" w:eastAsia="zh-CN"/>
        </w:rPr>
        <w:t>中“※二、报价要求”</w:t>
      </w:r>
    </w:p>
    <w:p w14:paraId="69F9FAD7">
      <w:pPr>
        <w:snapToGrid w:val="0"/>
        <w:spacing w:line="400" w:lineRule="exact"/>
        <w:ind w:firstLine="540"/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</w:pP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本次报价币种为人民币，报价为长寿校区到八颗校区所提供的规格（座数）车辆的单趟往返价格，单趟往返最高限价100元/趟（一个往返为一趟）。报价须含税金、乘座保险及驾驶员劳务薪酬、以及车辆维修、保养费等完成本服务所需的一切费用，采购人不支付其它任何费用。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szCs w:val="24"/>
        </w:rPr>
        <w:t>明细报价表中须标明所提供的规格（座数）车辆的单趟价格。最终结算金额是按单价乘实际数量（趟）进行计算，每月据实结算，结算单价不超过单价限价100元/趟，1年服务期最终结算金额不超总预算金额100万元。</w:t>
      </w:r>
    </w:p>
    <w:p w14:paraId="505BB1B9">
      <w:pPr>
        <w:spacing w:line="380" w:lineRule="exact"/>
        <w:ind w:firstLine="482" w:firstLineChars="200"/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  <w:t>修改为:</w:t>
      </w:r>
    </w:p>
    <w:p w14:paraId="5B231501">
      <w:pPr>
        <w:snapToGrid w:val="0"/>
        <w:spacing w:line="400" w:lineRule="exact"/>
        <w:ind w:firstLine="540"/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</w:pP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本次报价币种为人民币，报价为长寿校区到八颗校区所提供的规格（座数）车辆的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</w:rPr>
        <w:t>单趟往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  <w:lang w:val="en-US" w:eastAsia="zh-CN"/>
        </w:rPr>
        <w:t>或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</w:rPr>
        <w:t>返价格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，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</w:rPr>
        <w:t>单趟往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  <w:lang w:val="en-US" w:eastAsia="zh-CN"/>
        </w:rPr>
        <w:t>或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</w:rPr>
        <w:t>返最高限价100元/趟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（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</w:rPr>
        <w:t>一个往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  <w:lang w:val="en-US" w:eastAsia="zh-CN"/>
        </w:rPr>
        <w:t>或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</w:rPr>
        <w:t>返为一趟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）。报价须含税金、乘座保险及驾驶员劳务薪酬、以及车辆维修、保养费等完成本服务所需的一切费用，采购人不支付其它任何费用。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szCs w:val="24"/>
        </w:rPr>
        <w:t>明细报价表中须标明所提供的规格（座数）车辆的单趟价格。最终结算金额是按单价乘实际数量（趟）进行计算，每月据实结算，结算单价不超过单价限价100元/趟，1年服务期最终结算金额不超总预算金额100万元。</w:t>
      </w:r>
    </w:p>
    <w:p w14:paraId="3ABFF74D">
      <w:pPr>
        <w:pStyle w:val="2"/>
        <w:adjustRightInd w:val="0"/>
        <w:snapToGrid w:val="0"/>
        <w:spacing w:before="0" w:after="0" w:line="400" w:lineRule="exact"/>
        <w:ind w:firstLine="482" w:firstLineChars="200"/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  <w:t>（四）原竞争性谈判文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val="en-US" w:eastAsia="zh-CN"/>
        </w:rPr>
        <w:t>件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eastAsia="zh-CN"/>
        </w:rPr>
        <w:t>第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val="en-US" w:eastAsia="zh-CN"/>
        </w:rPr>
        <w:t>七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eastAsia="zh-CN"/>
        </w:rPr>
        <w:t>篇“响应文件格式要求”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val="en-US" w:eastAsia="zh-CN"/>
        </w:rPr>
        <w:t>中“</w:t>
      </w:r>
      <w:bookmarkStart w:id="18" w:name="_Toc283382454"/>
      <w:bookmarkStart w:id="19" w:name="_Toc14244"/>
      <w:bookmarkStart w:id="20" w:name="_Toc28476"/>
      <w:bookmarkStart w:id="21" w:name="_Toc342913419"/>
      <w:bookmarkStart w:id="22" w:name="_Toc313888360"/>
      <w:bookmarkStart w:id="23" w:name="_Toc26343"/>
      <w:bookmarkStart w:id="24" w:name="_Toc13310"/>
      <w:bookmarkStart w:id="25" w:name="_Toc65660379"/>
      <w:bookmarkStart w:id="26" w:name="_Toc313008356"/>
      <w:bookmarkStart w:id="27" w:name="_Toc12789073"/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eastAsia="zh-CN"/>
        </w:rPr>
        <w:t>一、经济部分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eastAsia="zh-CN"/>
        </w:rPr>
        <w:t>（一）竞争性报价函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24"/>
          <w:lang w:val="en-US" w:eastAsia="zh-CN"/>
        </w:rPr>
        <w:t>”</w:t>
      </w:r>
    </w:p>
    <w:p w14:paraId="2AC00FC4">
      <w:pPr>
        <w:tabs>
          <w:tab w:val="left" w:pos="6300"/>
        </w:tabs>
        <w:snapToGrid w:val="0"/>
        <w:spacing w:line="312" w:lineRule="auto"/>
        <w:ind w:firstLine="480" w:firstLineChars="200"/>
        <w:rPr>
          <w:rFonts w:hint="eastAsia" w:ascii="方正仿宋_GBK" w:hAnsi="宋体" w:eastAsia="方正仿宋_GBK"/>
          <w:color w:val="auto"/>
          <w:sz w:val="24"/>
          <w:szCs w:val="24"/>
        </w:rPr>
      </w:pPr>
      <w:r>
        <w:rPr>
          <w:rFonts w:hint="eastAsia" w:ascii="方正仿宋_GBK" w:hAnsi="宋体" w:eastAsia="方正仿宋_GBK"/>
          <w:color w:val="auto"/>
          <w:sz w:val="24"/>
          <w:szCs w:val="24"/>
        </w:rPr>
        <w:t>1.愿意按照竞争性谈判文件中的一切要求，提供本项目的交货及技术服务，项目初始报价（总价）为人民币大写：</w:t>
      </w:r>
      <w:r>
        <w:rPr>
          <w:rFonts w:hint="eastAsia" w:ascii="方正仿宋_GBK" w:hAnsi="宋体" w:eastAsia="方正仿宋_GBK"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K" w:hAnsi="宋体" w:eastAsia="方正仿宋_GBK"/>
          <w:color w:val="auto"/>
          <w:sz w:val="24"/>
          <w:szCs w:val="24"/>
        </w:rPr>
        <w:t>元整；人民币小写：</w:t>
      </w:r>
      <w:r>
        <w:rPr>
          <w:rFonts w:hint="eastAsia" w:ascii="方正仿宋_GBK" w:hAnsi="宋体" w:eastAsia="方正仿宋_GBK"/>
          <w:color w:val="auto"/>
          <w:sz w:val="24"/>
          <w:szCs w:val="24"/>
          <w:u w:val="single"/>
        </w:rPr>
        <w:t xml:space="preserve">    </w:t>
      </w:r>
      <w:r>
        <w:rPr>
          <w:rFonts w:hint="eastAsia" w:ascii="方正仿宋_GBK" w:hAnsi="宋体" w:eastAsia="方正仿宋_GBK"/>
          <w:color w:val="auto"/>
          <w:sz w:val="24"/>
          <w:szCs w:val="24"/>
        </w:rPr>
        <w:t>元。其中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单趟往返报价</w:t>
      </w:r>
      <w:r>
        <w:rPr>
          <w:rFonts w:hint="eastAsia" w:ascii="方正仿宋_GBK" w:hAnsi="宋体" w:eastAsia="方正仿宋_GBK"/>
          <w:color w:val="auto"/>
          <w:sz w:val="24"/>
          <w:szCs w:val="24"/>
        </w:rPr>
        <w:t>为人民币大写：</w:t>
      </w:r>
      <w:r>
        <w:rPr>
          <w:rFonts w:hint="eastAsia" w:ascii="方正仿宋_GBK" w:hAnsi="宋体" w:eastAsia="方正仿宋_GBK"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元/趟（一个往返为一趟）</w:t>
      </w:r>
      <w:r>
        <w:rPr>
          <w:rFonts w:hint="eastAsia" w:ascii="方正仿宋_GBK" w:hAnsi="宋体" w:eastAsia="方正仿宋_GBK"/>
          <w:color w:val="auto"/>
          <w:sz w:val="24"/>
          <w:szCs w:val="24"/>
        </w:rPr>
        <w:t>；人民币小写：</w:t>
      </w:r>
      <w:r>
        <w:rPr>
          <w:rFonts w:hint="eastAsia" w:ascii="方正仿宋_GBK" w:hAnsi="宋体" w:eastAsia="方正仿宋_GBK"/>
          <w:color w:val="auto"/>
          <w:sz w:val="24"/>
          <w:szCs w:val="24"/>
          <w:u w:val="single"/>
        </w:rPr>
        <w:t xml:space="preserve">    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元/趟（一个往返为一趟），</w:t>
      </w:r>
      <w:r>
        <w:rPr>
          <w:rFonts w:hint="eastAsia" w:ascii="方正仿宋_GBK" w:hAnsi="宋体" w:eastAsia="方正仿宋_GBK"/>
          <w:color w:val="auto"/>
          <w:sz w:val="24"/>
          <w:szCs w:val="24"/>
        </w:rPr>
        <w:t>以我公司最后报价为准。</w:t>
      </w:r>
    </w:p>
    <w:p w14:paraId="53EE7CCC">
      <w:pPr>
        <w:spacing w:line="380" w:lineRule="exact"/>
        <w:ind w:firstLine="482" w:firstLineChars="200"/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  <w:t>修改为:</w:t>
      </w:r>
    </w:p>
    <w:p w14:paraId="079A528C">
      <w:pPr>
        <w:tabs>
          <w:tab w:val="left" w:pos="6300"/>
        </w:tabs>
        <w:snapToGrid w:val="0"/>
        <w:spacing w:line="312" w:lineRule="auto"/>
        <w:ind w:firstLine="480" w:firstLineChars="200"/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</w:pPr>
      <w:r>
        <w:rPr>
          <w:rFonts w:hint="eastAsia" w:ascii="方正仿宋_GBK" w:hAnsi="宋体" w:eastAsia="方正仿宋_GBK"/>
          <w:color w:val="auto"/>
          <w:sz w:val="24"/>
          <w:szCs w:val="24"/>
        </w:rPr>
        <w:t>1.愿意按照竞争性谈判文件中的一切要求，提供本项目的交货及技术服务，项目初始报价（总价）为人民币大写：</w:t>
      </w:r>
      <w:r>
        <w:rPr>
          <w:rFonts w:hint="eastAsia" w:ascii="方正仿宋_GBK" w:hAnsi="宋体" w:eastAsia="方正仿宋_GBK"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K" w:hAnsi="宋体" w:eastAsia="方正仿宋_GBK"/>
          <w:color w:val="auto"/>
          <w:sz w:val="24"/>
          <w:szCs w:val="24"/>
        </w:rPr>
        <w:t>元整；人民币小写：</w:t>
      </w:r>
      <w:r>
        <w:rPr>
          <w:rFonts w:hint="eastAsia" w:ascii="方正仿宋_GBK" w:hAnsi="宋体" w:eastAsia="方正仿宋_GBK"/>
          <w:color w:val="auto"/>
          <w:sz w:val="24"/>
          <w:szCs w:val="24"/>
          <w:u w:val="single"/>
        </w:rPr>
        <w:t xml:space="preserve">    </w:t>
      </w:r>
      <w:r>
        <w:rPr>
          <w:rFonts w:hint="eastAsia" w:ascii="方正仿宋_GBK" w:hAnsi="宋体" w:eastAsia="方正仿宋_GBK"/>
          <w:color w:val="auto"/>
          <w:sz w:val="24"/>
          <w:szCs w:val="24"/>
        </w:rPr>
        <w:t>元。其中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</w:rPr>
        <w:t>单趟往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  <w:lang w:val="en-US" w:eastAsia="zh-CN"/>
        </w:rPr>
        <w:t>或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</w:rPr>
        <w:t>返报价</w:t>
      </w:r>
      <w:r>
        <w:rPr>
          <w:rFonts w:hint="eastAsia" w:ascii="方正仿宋_GBK" w:hAnsi="宋体" w:eastAsia="方正仿宋_GBK"/>
          <w:color w:val="auto"/>
          <w:sz w:val="24"/>
          <w:szCs w:val="24"/>
        </w:rPr>
        <w:t>为人民币大写：</w:t>
      </w:r>
      <w:r>
        <w:rPr>
          <w:rFonts w:hint="eastAsia" w:ascii="方正仿宋_GBK" w:hAnsi="宋体" w:eastAsia="方正仿宋_GBK"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元/趟（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</w:rPr>
        <w:t>一个往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  <w:lang w:val="en-US" w:eastAsia="zh-CN"/>
        </w:rPr>
        <w:t>或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</w:rPr>
        <w:t>返为一趟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）</w:t>
      </w:r>
      <w:r>
        <w:rPr>
          <w:rFonts w:hint="eastAsia" w:ascii="方正仿宋_GBK" w:hAnsi="宋体" w:eastAsia="方正仿宋_GBK"/>
          <w:color w:val="auto"/>
          <w:sz w:val="24"/>
          <w:szCs w:val="24"/>
        </w:rPr>
        <w:t>；人民币小写：</w:t>
      </w:r>
      <w:r>
        <w:rPr>
          <w:rFonts w:hint="eastAsia" w:ascii="方正仿宋_GBK" w:hAnsi="宋体" w:eastAsia="方正仿宋_GBK"/>
          <w:color w:val="auto"/>
          <w:sz w:val="24"/>
          <w:szCs w:val="24"/>
          <w:u w:val="single"/>
        </w:rPr>
        <w:t xml:space="preserve">    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元/趟（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</w:rPr>
        <w:t>一个往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  <w:lang w:val="en-US" w:eastAsia="zh-CN"/>
        </w:rPr>
        <w:t>或</w:t>
      </w:r>
      <w:r>
        <w:rPr>
          <w:rFonts w:hint="eastAsia" w:ascii="方正仿宋_GBK" w:hAnsi="方正仿宋_GBK" w:eastAsia="方正仿宋_GBK" w:cs="方正仿宋_GBK"/>
          <w:color w:val="FF0000"/>
          <w:sz w:val="24"/>
          <w:szCs w:val="24"/>
        </w:rPr>
        <w:t>返为一趟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），</w:t>
      </w:r>
      <w:r>
        <w:rPr>
          <w:rFonts w:hint="eastAsia" w:ascii="方正仿宋_GBK" w:hAnsi="宋体" w:eastAsia="方正仿宋_GBK"/>
          <w:color w:val="auto"/>
          <w:sz w:val="24"/>
          <w:szCs w:val="24"/>
        </w:rPr>
        <w:t>以我公司最后报价为准。</w:t>
      </w:r>
    </w:p>
    <w:p w14:paraId="435CD1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1083" w:firstLine="482" w:firstLineChars="200"/>
        <w:jc w:val="left"/>
        <w:textAlignment w:val="auto"/>
        <w:rPr>
          <w:rFonts w:hint="eastAsia" w:ascii="方正仿宋_GBK" w:hAnsi="方正仿宋_GBK" w:eastAsia="方正仿宋_GBK" w:cs="方正仿宋_GBK"/>
          <w:b w:val="0"/>
          <w:bCs/>
          <w:color w:val="FF0000"/>
          <w:sz w:val="24"/>
        </w:rPr>
      </w:pPr>
      <w:r>
        <w:rPr>
          <w:rFonts w:hint="eastAsia" w:ascii="方正仿宋_GBK" w:hAnsi="方正仿宋_GBK" w:eastAsia="方正仿宋_GBK" w:cs="方正仿宋_GBK"/>
          <w:b/>
          <w:sz w:val="24"/>
          <w:lang w:val="en-US" w:eastAsia="zh-CN"/>
        </w:rPr>
        <w:t>（五）</w:t>
      </w:r>
      <w:r>
        <w:rPr>
          <w:rFonts w:hint="eastAsia" w:ascii="方正仿宋_GBK" w:hAnsi="方正仿宋_GBK" w:eastAsia="方正仿宋_GBK" w:cs="方正仿宋_GBK"/>
          <w:b w:val="0"/>
          <w:bCs/>
          <w:sz w:val="24"/>
          <w:lang w:val="en-US" w:eastAsia="zh-CN"/>
        </w:rPr>
        <w:t>竞争性谈判文件提供期限更正为：</w:t>
      </w:r>
      <w:r>
        <w:rPr>
          <w:rFonts w:hint="eastAsia" w:ascii="方正仿宋_GBK" w:hAnsi="方正仿宋_GBK" w:eastAsia="方正仿宋_GBK" w:cs="方正仿宋_GBK"/>
          <w:b w:val="0"/>
          <w:bCs/>
          <w:color w:val="FF0000"/>
          <w:sz w:val="24"/>
          <w:lang w:val="en-US" w:eastAsia="zh-CN"/>
        </w:rPr>
        <w:t xml:space="preserve">2026年3月6日至2026年3月16日17时00分。  </w:t>
      </w:r>
      <w:r>
        <w:rPr>
          <w:rFonts w:hint="eastAsia" w:ascii="方正仿宋_GBK" w:hAnsi="方正仿宋_GBK" w:eastAsia="方正仿宋_GBK" w:cs="方正仿宋_GBK"/>
          <w:b w:val="0"/>
          <w:bCs/>
          <w:color w:val="FF0000"/>
          <w:sz w:val="24"/>
        </w:rPr>
        <w:t xml:space="preserve">   </w:t>
      </w:r>
    </w:p>
    <w:p w14:paraId="2EDFB7F5">
      <w:pPr>
        <w:snapToGrid w:val="0"/>
        <w:spacing w:line="400" w:lineRule="exact"/>
        <w:ind w:firstLine="480" w:firstLineChars="200"/>
        <w:rPr>
          <w:rFonts w:hint="default" w:ascii="方正仿宋_GBK" w:hAnsi="宋体" w:eastAsia="方正仿宋_GBK"/>
          <w:b w:val="0"/>
          <w:bCs/>
          <w:color w:val="FF0000"/>
          <w:sz w:val="24"/>
          <w:szCs w:val="24"/>
          <w:lang w:val="en-US" w:eastAsia="zh-CN"/>
        </w:rPr>
      </w:pPr>
      <w:r>
        <w:rPr>
          <w:rFonts w:hint="eastAsia" w:ascii="方正仿宋_GBK" w:hAnsi="宋体" w:eastAsia="方正仿宋_GBK"/>
          <w:b w:val="0"/>
          <w:bCs/>
          <w:color w:val="auto"/>
          <w:sz w:val="24"/>
          <w:szCs w:val="24"/>
        </w:rPr>
        <w:t>提交响应文件截止时间</w:t>
      </w:r>
      <w:r>
        <w:rPr>
          <w:rFonts w:hint="eastAsia" w:ascii="方正仿宋_GBK" w:hAnsi="方正仿宋_GBK" w:eastAsia="方正仿宋_GBK" w:cs="方正仿宋_GBK"/>
          <w:b w:val="0"/>
          <w:bCs/>
          <w:sz w:val="24"/>
          <w:lang w:val="en-US" w:eastAsia="zh-CN"/>
        </w:rPr>
        <w:t>更正为</w:t>
      </w:r>
      <w:r>
        <w:rPr>
          <w:rFonts w:hint="eastAsia" w:ascii="方正仿宋_GBK" w:hAnsi="宋体" w:eastAsia="方正仿宋_GBK"/>
          <w:b w:val="0"/>
          <w:bCs/>
          <w:color w:val="auto"/>
          <w:sz w:val="24"/>
          <w:szCs w:val="24"/>
        </w:rPr>
        <w:t>：</w:t>
      </w:r>
      <w:r>
        <w:rPr>
          <w:rFonts w:hint="eastAsia" w:ascii="方正仿宋_GBK" w:hAnsi="宋体" w:eastAsia="方正仿宋_GBK"/>
          <w:b w:val="0"/>
          <w:bCs/>
          <w:color w:val="FF0000"/>
          <w:sz w:val="24"/>
          <w:szCs w:val="24"/>
        </w:rPr>
        <w:t>2026年3月</w:t>
      </w:r>
      <w:r>
        <w:rPr>
          <w:rFonts w:hint="eastAsia" w:ascii="方正仿宋_GBK" w:hAnsi="宋体" w:eastAsia="方正仿宋_GBK"/>
          <w:b w:val="0"/>
          <w:bCs/>
          <w:color w:val="FF0000"/>
          <w:sz w:val="24"/>
          <w:szCs w:val="24"/>
          <w:lang w:val="en-US" w:eastAsia="zh-CN"/>
        </w:rPr>
        <w:t>17</w:t>
      </w:r>
      <w:r>
        <w:rPr>
          <w:rFonts w:hint="eastAsia" w:ascii="方正仿宋_GBK" w:hAnsi="宋体" w:eastAsia="方正仿宋_GBK"/>
          <w:b w:val="0"/>
          <w:bCs/>
          <w:color w:val="FF0000"/>
          <w:sz w:val="24"/>
          <w:szCs w:val="24"/>
        </w:rPr>
        <w:t>日北京时间</w:t>
      </w:r>
      <w:r>
        <w:rPr>
          <w:rFonts w:hint="eastAsia" w:ascii="方正仿宋_GBK" w:hAnsi="宋体" w:eastAsia="方正仿宋_GBK"/>
          <w:b w:val="0"/>
          <w:bCs/>
          <w:color w:val="FF0000"/>
          <w:sz w:val="24"/>
          <w:szCs w:val="24"/>
          <w:lang w:val="en-US" w:eastAsia="zh-CN"/>
        </w:rPr>
        <w:t>10</w:t>
      </w:r>
      <w:r>
        <w:rPr>
          <w:rFonts w:hint="eastAsia" w:ascii="方正仿宋_GBK" w:hAnsi="宋体" w:eastAsia="方正仿宋_GBK"/>
          <w:b w:val="0"/>
          <w:bCs/>
          <w:color w:val="FF0000"/>
          <w:sz w:val="24"/>
          <w:szCs w:val="24"/>
        </w:rPr>
        <w:t>:</w:t>
      </w:r>
      <w:r>
        <w:rPr>
          <w:rFonts w:hint="eastAsia" w:ascii="方正仿宋_GBK" w:hAnsi="宋体" w:eastAsia="方正仿宋_GBK"/>
          <w:b w:val="0"/>
          <w:bCs/>
          <w:color w:val="FF0000"/>
          <w:sz w:val="24"/>
          <w:szCs w:val="24"/>
          <w:lang w:val="en-US" w:eastAsia="zh-CN"/>
        </w:rPr>
        <w:t>00</w:t>
      </w:r>
    </w:p>
    <w:p w14:paraId="586C77A9">
      <w:pPr>
        <w:snapToGrid w:val="0"/>
        <w:spacing w:line="400" w:lineRule="exact"/>
        <w:ind w:firstLine="480" w:firstLineChars="200"/>
        <w:rPr>
          <w:rFonts w:ascii="方正仿宋_GBK" w:hAnsi="宋体" w:eastAsia="方正仿宋_GBK"/>
          <w:b w:val="0"/>
          <w:bCs/>
          <w:color w:val="FF0000"/>
          <w:sz w:val="24"/>
          <w:szCs w:val="24"/>
        </w:rPr>
      </w:pPr>
      <w:r>
        <w:rPr>
          <w:rFonts w:hint="eastAsia" w:ascii="方正仿宋_GBK" w:hAnsi="宋体" w:eastAsia="方正仿宋_GBK"/>
          <w:b w:val="0"/>
          <w:bCs/>
          <w:color w:val="auto"/>
          <w:sz w:val="24"/>
          <w:szCs w:val="24"/>
        </w:rPr>
        <w:t>谈判开始时间</w:t>
      </w:r>
      <w:r>
        <w:rPr>
          <w:rFonts w:hint="eastAsia" w:ascii="方正仿宋_GBK" w:hAnsi="方正仿宋_GBK" w:eastAsia="方正仿宋_GBK" w:cs="方正仿宋_GBK"/>
          <w:b w:val="0"/>
          <w:bCs/>
          <w:sz w:val="24"/>
          <w:lang w:val="en-US" w:eastAsia="zh-CN"/>
        </w:rPr>
        <w:t>更正为</w:t>
      </w:r>
      <w:r>
        <w:rPr>
          <w:rFonts w:hint="eastAsia" w:ascii="方正仿宋_GBK" w:hAnsi="宋体" w:eastAsia="方正仿宋_GBK"/>
          <w:b w:val="0"/>
          <w:bCs/>
          <w:color w:val="auto"/>
          <w:sz w:val="24"/>
          <w:szCs w:val="24"/>
        </w:rPr>
        <w:t>：</w:t>
      </w:r>
      <w:r>
        <w:rPr>
          <w:rFonts w:hint="eastAsia" w:ascii="方正仿宋_GBK" w:hAnsi="宋体" w:eastAsia="方正仿宋_GBK"/>
          <w:b w:val="0"/>
          <w:bCs/>
          <w:color w:val="FF0000"/>
          <w:sz w:val="24"/>
          <w:szCs w:val="24"/>
        </w:rPr>
        <w:t>2026年3月</w:t>
      </w:r>
      <w:r>
        <w:rPr>
          <w:rFonts w:hint="eastAsia" w:ascii="方正仿宋_GBK" w:hAnsi="宋体" w:eastAsia="方正仿宋_GBK"/>
          <w:b w:val="0"/>
          <w:bCs/>
          <w:color w:val="FF0000"/>
          <w:sz w:val="24"/>
          <w:szCs w:val="24"/>
          <w:lang w:val="en-US" w:eastAsia="zh-CN"/>
        </w:rPr>
        <w:t>17</w:t>
      </w:r>
      <w:r>
        <w:rPr>
          <w:rFonts w:hint="eastAsia" w:ascii="方正仿宋_GBK" w:hAnsi="宋体" w:eastAsia="方正仿宋_GBK"/>
          <w:b w:val="0"/>
          <w:bCs/>
          <w:color w:val="FF0000"/>
          <w:sz w:val="24"/>
          <w:szCs w:val="24"/>
        </w:rPr>
        <w:t>日北京时间10:00</w:t>
      </w:r>
    </w:p>
    <w:p w14:paraId="409FE1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1083" w:firstLine="48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24"/>
        </w:rPr>
      </w:pP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</w:rPr>
        <w:t>保证金的到账截止时间同响应文件截止时间</w:t>
      </w:r>
      <w:r>
        <w:rPr>
          <w:rFonts w:hint="eastAsia" w:ascii="方正仿宋_GBK" w:hAnsi="方正仿宋_GBK" w:eastAsia="方正仿宋_GBK" w:cs="方正仿宋_GBK"/>
          <w:color w:val="auto"/>
          <w:sz w:val="24"/>
          <w:szCs w:val="24"/>
          <w:lang w:eastAsia="zh-CN"/>
        </w:rPr>
        <w:t>。</w:t>
      </w:r>
      <w:r>
        <w:rPr>
          <w:rFonts w:hint="eastAsia" w:ascii="方正仿宋_GBK" w:hAnsi="方正仿宋_GBK" w:eastAsia="方正仿宋_GBK" w:cs="方正仿宋_GBK"/>
          <w:sz w:val="24"/>
        </w:rPr>
        <w:t xml:space="preserve">                                   </w:t>
      </w:r>
    </w:p>
    <w:p w14:paraId="2D8F1C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 w:firstLineChars="0"/>
        <w:jc w:val="right"/>
        <w:textAlignment w:val="auto"/>
        <w:rPr>
          <w:rFonts w:hint="eastAsia" w:ascii="方正仿宋_GBK" w:hAnsi="方正仿宋_GBK" w:eastAsia="方正仿宋_GBK" w:cs="方正仿宋_GBK"/>
          <w:color w:val="000000"/>
          <w:sz w:val="24"/>
          <w:szCs w:val="24"/>
        </w:rPr>
      </w:pPr>
      <w:r>
        <w:rPr>
          <w:rFonts w:hint="eastAsia" w:ascii="方正仿宋_GBK" w:hAnsi="方正仿宋_GBK" w:eastAsia="方正仿宋_GBK" w:cs="方正仿宋_GBK"/>
          <w:color w:val="000000"/>
          <w:sz w:val="24"/>
          <w:szCs w:val="24"/>
        </w:rPr>
        <w:t xml:space="preserve">采购人：重庆化工职业学院  </w:t>
      </w:r>
    </w:p>
    <w:p w14:paraId="63C503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right"/>
        <w:textAlignment w:val="auto"/>
        <w:rPr>
          <w:rFonts w:hint="eastAsia" w:ascii="方正仿宋_GBK" w:hAnsi="方正仿宋_GBK" w:eastAsia="方正仿宋_GBK" w:cs="方正仿宋_GBK"/>
          <w:color w:val="000000"/>
          <w:sz w:val="24"/>
          <w:szCs w:val="24"/>
        </w:rPr>
      </w:pPr>
      <w:r>
        <w:rPr>
          <w:rFonts w:hint="eastAsia" w:ascii="方正仿宋_GBK" w:hAnsi="方正仿宋_GBK" w:eastAsia="方正仿宋_GBK" w:cs="方正仿宋_GBK"/>
          <w:color w:val="000000"/>
          <w:sz w:val="24"/>
          <w:szCs w:val="24"/>
        </w:rPr>
        <w:t>采购代理机构：</w:t>
      </w:r>
      <w:r>
        <w:rPr>
          <w:rFonts w:hint="eastAsia" w:ascii="方正仿宋_GBK" w:hAnsi="方正仿宋_GBK" w:eastAsia="方正仿宋_GBK" w:cs="方正仿宋_GBK"/>
          <w:sz w:val="24"/>
          <w:lang w:val="zh-CN"/>
        </w:rPr>
        <w:t>四川国际招标有限责任公司</w:t>
      </w:r>
      <w:r>
        <w:rPr>
          <w:rFonts w:hint="eastAsia" w:ascii="方正仿宋_GBK" w:hAnsi="方正仿宋_GBK" w:eastAsia="方正仿宋_GBK" w:cs="方正仿宋_GBK"/>
          <w:color w:val="000000"/>
          <w:sz w:val="24"/>
          <w:szCs w:val="24"/>
        </w:rPr>
        <w:t xml:space="preserve">                 </w:t>
      </w:r>
    </w:p>
    <w:p w14:paraId="21317485">
      <w:pPr>
        <w:spacing w:line="400" w:lineRule="exact"/>
        <w:jc w:val="right"/>
        <w:rPr>
          <w:rFonts w:hint="eastAsia" w:ascii="方正仿宋_GBK" w:hAnsi="方正仿宋_GBK" w:eastAsia="方正仿宋_GBK" w:cs="方正仿宋_GBK"/>
          <w:sz w:val="20"/>
          <w:szCs w:val="22"/>
        </w:rPr>
      </w:pPr>
      <w:r>
        <w:rPr>
          <w:rFonts w:hint="eastAsia" w:ascii="方正仿宋_GBK" w:hAnsi="方正仿宋_GBK" w:eastAsia="方正仿宋_GBK" w:cs="方正仿宋_GBK"/>
          <w:color w:val="000000"/>
          <w:sz w:val="24"/>
          <w:szCs w:val="24"/>
        </w:rPr>
        <w:t xml:space="preserve"> 日期：202</w:t>
      </w:r>
      <w:r>
        <w:rPr>
          <w:rFonts w:hint="eastAsia" w:ascii="方正仿宋_GBK" w:hAnsi="方正仿宋_GBK" w:eastAsia="方正仿宋_GBK" w:cs="方正仿宋_GBK"/>
          <w:color w:val="000000"/>
          <w:sz w:val="24"/>
          <w:szCs w:val="24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color w:val="000000"/>
          <w:sz w:val="24"/>
          <w:szCs w:val="24"/>
        </w:rPr>
        <w:t>年</w:t>
      </w:r>
      <w:r>
        <w:rPr>
          <w:rFonts w:hint="eastAsia" w:ascii="方正仿宋_GBK" w:hAnsi="方正仿宋_GBK" w:eastAsia="方正仿宋_GBK" w:cs="方正仿宋_GBK"/>
          <w:color w:val="000000"/>
          <w:sz w:val="24"/>
          <w:szCs w:val="24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000000"/>
          <w:sz w:val="24"/>
          <w:szCs w:val="24"/>
        </w:rPr>
        <w:t>月</w:t>
      </w:r>
      <w:r>
        <w:rPr>
          <w:rFonts w:hint="eastAsia" w:ascii="方正仿宋_GBK" w:hAnsi="方正仿宋_GBK" w:eastAsia="方正仿宋_GBK" w:cs="方正仿宋_GBK"/>
          <w:color w:val="000000"/>
          <w:sz w:val="24"/>
          <w:szCs w:val="24"/>
          <w:lang w:val="en-US" w:eastAsia="zh-CN"/>
        </w:rPr>
        <w:t>10</w:t>
      </w:r>
      <w:r>
        <w:rPr>
          <w:rFonts w:hint="eastAsia" w:ascii="方正仿宋_GBK" w:hAnsi="方正仿宋_GBK" w:eastAsia="方正仿宋_GBK" w:cs="方正仿宋_GBK"/>
          <w:color w:val="000000"/>
          <w:sz w:val="24"/>
          <w:szCs w:val="24"/>
        </w:rPr>
        <w:t>日</w:t>
      </w:r>
      <w:bookmarkStart w:id="28" w:name="_GoBack"/>
      <w:bookmarkEnd w:id="28"/>
    </w:p>
    <w:sectPr>
      <w:pgSz w:w="11906" w:h="16838"/>
      <w:pgMar w:top="1134" w:right="892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1" w:fontKey="{A51D8F2B-0FAC-4461-905B-70F9E9A222F7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1NGMyMzU3ZGYzMWFkMmU3ZjM1ZDE4YjZjZTE0MDQifQ=="/>
  </w:docVars>
  <w:rsids>
    <w:rsidRoot w:val="43CB11D4"/>
    <w:rsid w:val="10351A21"/>
    <w:rsid w:val="13467034"/>
    <w:rsid w:val="16A36AB3"/>
    <w:rsid w:val="1CCD3946"/>
    <w:rsid w:val="1ECA4FED"/>
    <w:rsid w:val="20A87BEB"/>
    <w:rsid w:val="20BB2F53"/>
    <w:rsid w:val="2989275E"/>
    <w:rsid w:val="338E33A9"/>
    <w:rsid w:val="3B925CE2"/>
    <w:rsid w:val="3D1D5EDD"/>
    <w:rsid w:val="41DB45A6"/>
    <w:rsid w:val="43CB11D4"/>
    <w:rsid w:val="5C6F4617"/>
    <w:rsid w:val="65F07A43"/>
    <w:rsid w:val="68C87588"/>
    <w:rsid w:val="6C7C72A7"/>
    <w:rsid w:val="715F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adjustRightInd w:val="0"/>
      <w:snapToGrid w:val="0"/>
      <w:spacing w:line="360" w:lineRule="auto"/>
      <w:outlineLvl w:val="1"/>
    </w:pPr>
    <w:rPr>
      <w:rFonts w:ascii="宋体" w:hAnsi="宋体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uiPriority w:val="0"/>
    <w:pPr>
      <w:adjustRightInd w:val="0"/>
      <w:snapToGrid w:val="0"/>
      <w:spacing w:line="360" w:lineRule="auto"/>
      <w:ind w:firstLine="420"/>
    </w:pPr>
    <w:rPr>
      <w:sz w:val="24"/>
    </w:rPr>
  </w:style>
  <w:style w:type="paragraph" w:styleId="5">
    <w:name w:val="Body Text"/>
    <w:basedOn w:val="1"/>
    <w:next w:val="6"/>
    <w:qFormat/>
    <w:uiPriority w:val="0"/>
    <w:rPr>
      <w:rFonts w:cs="Times New Roman" w:asciiTheme="minorEastAsia" w:hAnsiTheme="minorEastAsia" w:eastAsiaTheme="minorEastAsia"/>
      <w:sz w:val="24"/>
    </w:rPr>
  </w:style>
  <w:style w:type="paragraph" w:customStyle="1" w:styleId="6">
    <w:name w:val="_Style 6"/>
    <w:next w:val="1"/>
    <w:qFormat/>
    <w:uiPriority w:val="0"/>
    <w:pPr>
      <w:wordWrap w:val="0"/>
      <w:spacing w:before="200" w:after="160"/>
      <w:ind w:left="864" w:right="864"/>
      <w:jc w:val="center"/>
    </w:pPr>
    <w:rPr>
      <w:rFonts w:ascii="Calibri" w:hAnsi="Calibri" w:eastAsia="宋体" w:cs="Times New Roman"/>
      <w:i/>
      <w:sz w:val="21"/>
      <w:szCs w:val="22"/>
      <w:lang w:val="en-US" w:eastAsia="zh-CN" w:bidi="ar-SA"/>
    </w:rPr>
  </w:style>
  <w:style w:type="paragraph" w:styleId="7">
    <w:name w:val="Body Text Indent"/>
    <w:basedOn w:val="1"/>
    <w:next w:val="8"/>
    <w:qFormat/>
    <w:uiPriority w:val="0"/>
    <w:pPr>
      <w:spacing w:line="700" w:lineRule="exact"/>
      <w:ind w:left="960"/>
    </w:pPr>
    <w:rPr>
      <w:sz w:val="44"/>
    </w:rPr>
  </w:style>
  <w:style w:type="paragraph" w:styleId="8">
    <w:name w:val="envelope return"/>
    <w:basedOn w:val="1"/>
    <w:unhideWhenUsed/>
    <w:qFormat/>
    <w:uiPriority w:val="99"/>
    <w:pPr>
      <w:snapToGrid w:val="0"/>
    </w:pPr>
    <w:rPr>
      <w:rFonts w:ascii="Arial" w:hAnsi="Arial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/>
    </w:rPr>
  </w:style>
  <w:style w:type="paragraph" w:styleId="11">
    <w:name w:val="toc 1"/>
    <w:basedOn w:val="1"/>
    <w:next w:val="1"/>
    <w:qFormat/>
    <w:uiPriority w:val="39"/>
    <w:pPr>
      <w:tabs>
        <w:tab w:val="left" w:pos="1260"/>
        <w:tab w:val="left" w:pos="1685"/>
        <w:tab w:val="right" w:leader="dot" w:pos="8400"/>
      </w:tabs>
      <w:spacing w:line="320" w:lineRule="exact"/>
      <w:ind w:firstLine="280" w:firstLineChars="100"/>
    </w:pPr>
  </w:style>
  <w:style w:type="character" w:styleId="14">
    <w:name w:val="page number"/>
    <w:qFormat/>
    <w:uiPriority w:val="0"/>
  </w:style>
  <w:style w:type="paragraph" w:customStyle="1" w:styleId="15">
    <w:name w:val="正文1"/>
    <w:basedOn w:val="1"/>
    <w:qFormat/>
    <w:uiPriority w:val="0"/>
    <w:pPr>
      <w:spacing w:line="300" w:lineRule="auto"/>
      <w:ind w:firstLine="200" w:firstLineChars="200"/>
    </w:pPr>
    <w:rPr>
      <w:sz w:val="24"/>
    </w:rPr>
  </w:style>
  <w:style w:type="paragraph" w:customStyle="1" w:styleId="16">
    <w:name w:val="图例"/>
    <w:basedOn w:val="1"/>
    <w:qFormat/>
    <w:uiPriority w:val="0"/>
    <w:pPr>
      <w:spacing w:before="120" w:beforeLines="0" w:beforeAutospacing="0" w:after="120" w:afterLines="0" w:afterAutospacing="0" w:line="360" w:lineRule="auto"/>
      <w:jc w:val="center"/>
    </w:pPr>
    <w:rPr>
      <w:rFonts w:eastAsia="仿宋_GB2312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1465</Words>
  <Characters>1555</Characters>
  <Lines>0</Lines>
  <Paragraphs>0</Paragraphs>
  <TotalTime>0</TotalTime>
  <ScaleCrop>false</ScaleCrop>
  <LinksUpToDate>false</LinksUpToDate>
  <CharactersWithSpaces>1672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2024-07-15T01:46:00Z</dcterms:created>
  <dc:creator>Administrator</dc:creator>
  <cp:lastModifiedBy>四川国际招标</cp:lastModifiedBy>
  <dcterms:modified xsi:type="dcterms:W3CDTF">2026-03-09T08:34:31Z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E48EB8B7C3B64F21A24FE6044A4AE0E1_13</vt:lpwstr>
  </property>
  <property fmtid="{D5CDD505-2E9C-101B-9397-08002B2CF9AE}" pid="4" name="KSOTemplateDocerSaveRecord">
    <vt:lpwstr>eyJoZGlkIjoiOGI1NGMyMzU3ZGYzMWFkMmU3ZjM1ZDE4YjZjZTE0MDQiLCJ1c2VySWQiOiIzMTUwODU4OTgifQ==</vt:lpwstr>
  </property>
</Properties>
</file>