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7DB4ED9">
      <w:pPr>
        <w:spacing w:line="1600" w:lineRule="exact"/>
        <w:jc w:val="center"/>
        <w:outlineLvl w:val="0"/>
        <w:rPr>
          <w:rFonts w:hint="eastAsia" w:ascii="宋体" w:hAnsi="宋体" w:eastAsia="宋体" w:cs="宋体"/>
          <w:color w:val="auto"/>
          <w:sz w:val="100"/>
        </w:rPr>
      </w:pPr>
      <w:r>
        <w:rPr>
          <w:rFonts w:hint="eastAsia" w:ascii="宋体" w:hAnsi="宋体" w:eastAsia="宋体" w:cs="宋体"/>
          <w:color w:val="auto"/>
          <w:sz w:val="100"/>
        </w:rPr>
        <w:t>政府采购</w:t>
      </w:r>
    </w:p>
    <w:p w14:paraId="44BC27B2">
      <w:pPr>
        <w:spacing w:line="1600" w:lineRule="exact"/>
        <w:jc w:val="center"/>
        <w:outlineLvl w:val="0"/>
        <w:rPr>
          <w:rFonts w:hint="eastAsia" w:ascii="宋体" w:hAnsi="宋体" w:eastAsia="宋体" w:cs="宋体"/>
          <w:color w:val="auto"/>
          <w:sz w:val="130"/>
          <w:szCs w:val="130"/>
        </w:rPr>
      </w:pPr>
      <w:r>
        <w:rPr>
          <w:rFonts w:hint="eastAsia" w:ascii="宋体" w:hAnsi="宋体" w:eastAsia="宋体" w:cs="宋体"/>
          <w:color w:val="auto"/>
          <w:sz w:val="130"/>
          <w:szCs w:val="130"/>
        </w:rPr>
        <w:t>招 标 文 件</w:t>
      </w:r>
    </w:p>
    <w:p w14:paraId="5AA2CD28">
      <w:pPr>
        <w:pStyle w:val="23"/>
        <w:spacing w:line="900" w:lineRule="exact"/>
        <w:ind w:left="0"/>
        <w:jc w:val="center"/>
        <w:rPr>
          <w:rFonts w:hint="eastAsia" w:ascii="宋体" w:hAnsi="宋体" w:eastAsia="宋体" w:cs="宋体"/>
          <w:color w:val="auto"/>
          <w:sz w:val="72"/>
          <w:szCs w:val="72"/>
        </w:rPr>
      </w:pPr>
    </w:p>
    <w:p w14:paraId="30EEC3EA">
      <w:pPr>
        <w:pStyle w:val="23"/>
        <w:spacing w:line="500" w:lineRule="exact"/>
        <w:ind w:left="0"/>
        <w:jc w:val="left"/>
        <w:rPr>
          <w:rFonts w:hint="eastAsia" w:ascii="宋体" w:hAnsi="宋体" w:eastAsia="宋体" w:cs="宋体"/>
          <w:color w:val="auto"/>
          <w:sz w:val="32"/>
        </w:rPr>
      </w:pPr>
    </w:p>
    <w:p w14:paraId="4AD5248A">
      <w:pPr>
        <w:pStyle w:val="23"/>
        <w:spacing w:line="500" w:lineRule="exact"/>
        <w:ind w:left="0"/>
        <w:jc w:val="left"/>
        <w:rPr>
          <w:rFonts w:hint="eastAsia" w:ascii="宋体" w:hAnsi="宋体" w:eastAsia="宋体" w:cs="宋体"/>
          <w:color w:val="auto"/>
          <w:sz w:val="32"/>
        </w:rPr>
      </w:pPr>
    </w:p>
    <w:p w14:paraId="3FB4EDA4">
      <w:pPr>
        <w:pStyle w:val="23"/>
        <w:spacing w:line="500" w:lineRule="exact"/>
        <w:ind w:left="0"/>
        <w:jc w:val="center"/>
        <w:rPr>
          <w:rFonts w:hint="eastAsia" w:ascii="宋体" w:hAnsi="宋体" w:eastAsia="宋体" w:cs="宋体"/>
          <w:color w:val="auto"/>
          <w:sz w:val="32"/>
        </w:rPr>
      </w:pPr>
    </w:p>
    <w:p w14:paraId="310CF1E4">
      <w:pPr>
        <w:pStyle w:val="23"/>
        <w:spacing w:line="500" w:lineRule="exact"/>
        <w:ind w:left="0"/>
        <w:jc w:val="center"/>
        <w:rPr>
          <w:rFonts w:hint="eastAsia" w:ascii="宋体" w:hAnsi="宋体" w:eastAsia="宋体" w:cs="宋体"/>
          <w:color w:val="auto"/>
          <w:sz w:val="32"/>
        </w:rPr>
      </w:pPr>
    </w:p>
    <w:p w14:paraId="436F9D3B">
      <w:pPr>
        <w:spacing w:line="500" w:lineRule="exact"/>
        <w:ind w:left="0" w:leftChars="0" w:firstLine="1958" w:firstLineChars="544"/>
        <w:outlineLvl w:val="0"/>
        <w:rPr>
          <w:rFonts w:hint="eastAsia" w:ascii="宋体" w:hAnsi="宋体" w:eastAsia="宋体" w:cs="宋体"/>
          <w:color w:val="auto"/>
          <w:sz w:val="36"/>
          <w:szCs w:val="36"/>
          <w:lang w:eastAsia="zh-CN"/>
        </w:rPr>
      </w:pPr>
      <w:r>
        <w:rPr>
          <w:rFonts w:hint="eastAsia" w:ascii="宋体" w:hAnsi="宋体" w:eastAsia="宋体" w:cs="宋体"/>
          <w:color w:val="auto"/>
          <w:sz w:val="36"/>
          <w:szCs w:val="36"/>
        </w:rPr>
        <w:t xml:space="preserve">项  </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目  </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号：CQS25A03579</w:t>
      </w:r>
    </w:p>
    <w:p w14:paraId="14B192E1">
      <w:pPr>
        <w:spacing w:line="500" w:lineRule="exact"/>
        <w:ind w:left="0" w:leftChars="0" w:firstLine="1958" w:firstLineChars="544"/>
        <w:outlineLvl w:val="0"/>
        <w:rPr>
          <w:rFonts w:hint="eastAsia" w:ascii="宋体" w:hAnsi="宋体" w:eastAsia="宋体" w:cs="宋体"/>
          <w:color w:val="auto"/>
          <w:sz w:val="36"/>
          <w:szCs w:val="36"/>
          <w:lang w:eastAsia="zh-CN"/>
        </w:rPr>
      </w:pPr>
      <w:r>
        <w:rPr>
          <w:rFonts w:hint="eastAsia" w:ascii="宋体" w:hAnsi="宋体" w:eastAsia="宋体" w:cs="宋体"/>
          <w:color w:val="auto"/>
          <w:sz w:val="36"/>
          <w:szCs w:val="36"/>
        </w:rPr>
        <w:t>采购执行编号：SCIT-CQZG-2025070001</w:t>
      </w:r>
    </w:p>
    <w:p w14:paraId="3C4E5836">
      <w:pPr>
        <w:spacing w:line="500" w:lineRule="exact"/>
        <w:ind w:left="0" w:leftChars="0" w:firstLine="1958" w:firstLineChars="544"/>
        <w:outlineLvl w:val="0"/>
        <w:rPr>
          <w:rFonts w:hint="eastAsia" w:ascii="宋体" w:hAnsi="宋体" w:eastAsia="宋体" w:cs="宋体"/>
          <w:color w:val="auto"/>
          <w:sz w:val="36"/>
          <w:szCs w:val="36"/>
        </w:rPr>
      </w:pPr>
      <w:r>
        <w:rPr>
          <w:rFonts w:hint="eastAsia" w:ascii="宋体" w:hAnsi="宋体" w:eastAsia="宋体" w:cs="宋体"/>
          <w:color w:val="auto"/>
          <w:sz w:val="36"/>
          <w:szCs w:val="36"/>
        </w:rPr>
        <w:t>招标项目名称：</w:t>
      </w:r>
      <w:bookmarkStart w:id="887" w:name="_GoBack"/>
      <w:r>
        <w:rPr>
          <w:rFonts w:hint="eastAsia" w:ascii="宋体" w:hAnsi="宋体" w:eastAsia="宋体" w:cs="宋体"/>
          <w:color w:val="auto"/>
          <w:sz w:val="36"/>
          <w:szCs w:val="36"/>
          <w:lang w:eastAsia="zh-CN"/>
        </w:rPr>
        <w:t>化工安全技能实训基地</w:t>
      </w:r>
      <w:r>
        <w:rPr>
          <w:rFonts w:hint="eastAsia" w:ascii="宋体" w:hAnsi="宋体" w:eastAsia="宋体" w:cs="宋体"/>
          <w:color w:val="auto"/>
          <w:sz w:val="36"/>
          <w:szCs w:val="36"/>
        </w:rPr>
        <w:t xml:space="preserve">   </w:t>
      </w:r>
      <w:bookmarkEnd w:id="887"/>
    </w:p>
    <w:p w14:paraId="3560CA92">
      <w:pPr>
        <w:pStyle w:val="23"/>
        <w:spacing w:line="500" w:lineRule="exact"/>
        <w:ind w:left="0"/>
        <w:jc w:val="center"/>
        <w:rPr>
          <w:rFonts w:hint="eastAsia" w:ascii="宋体" w:hAnsi="宋体" w:eastAsia="宋体" w:cs="宋体"/>
          <w:color w:val="auto"/>
          <w:sz w:val="32"/>
        </w:rPr>
      </w:pPr>
    </w:p>
    <w:p w14:paraId="154A150A">
      <w:pPr>
        <w:pStyle w:val="23"/>
        <w:spacing w:line="500" w:lineRule="exact"/>
        <w:ind w:left="0"/>
        <w:jc w:val="center"/>
        <w:rPr>
          <w:rFonts w:hint="eastAsia" w:ascii="宋体" w:hAnsi="宋体" w:eastAsia="宋体" w:cs="宋体"/>
          <w:color w:val="auto"/>
          <w:sz w:val="32"/>
        </w:rPr>
      </w:pPr>
    </w:p>
    <w:p w14:paraId="2CED0A12">
      <w:pPr>
        <w:pStyle w:val="23"/>
        <w:spacing w:line="500" w:lineRule="exact"/>
        <w:ind w:left="0"/>
        <w:jc w:val="center"/>
        <w:rPr>
          <w:rFonts w:hint="eastAsia" w:ascii="宋体" w:hAnsi="宋体" w:eastAsia="宋体" w:cs="宋体"/>
          <w:color w:val="auto"/>
          <w:sz w:val="32"/>
        </w:rPr>
      </w:pPr>
    </w:p>
    <w:p w14:paraId="510532EB">
      <w:pPr>
        <w:spacing w:line="500" w:lineRule="exact"/>
        <w:jc w:val="center"/>
        <w:rPr>
          <w:rFonts w:hint="eastAsia" w:ascii="宋体" w:hAnsi="宋体" w:eastAsia="宋体" w:cs="宋体"/>
          <w:color w:val="auto"/>
          <w:sz w:val="32"/>
        </w:rPr>
      </w:pPr>
    </w:p>
    <w:p w14:paraId="489EC7C9">
      <w:pPr>
        <w:spacing w:line="500" w:lineRule="exact"/>
        <w:jc w:val="center"/>
        <w:rPr>
          <w:rFonts w:hint="eastAsia" w:ascii="宋体" w:hAnsi="宋体" w:eastAsia="宋体" w:cs="宋体"/>
          <w:color w:val="auto"/>
          <w:sz w:val="36"/>
          <w:szCs w:val="36"/>
        </w:rPr>
      </w:pPr>
    </w:p>
    <w:p w14:paraId="013545B6">
      <w:pPr>
        <w:spacing w:line="500" w:lineRule="exact"/>
        <w:jc w:val="center"/>
        <w:outlineLvl w:val="0"/>
        <w:rPr>
          <w:rFonts w:hint="eastAsia" w:ascii="宋体" w:hAnsi="宋体" w:eastAsia="宋体" w:cs="宋体"/>
          <w:color w:val="auto"/>
          <w:sz w:val="36"/>
          <w:szCs w:val="36"/>
        </w:rPr>
      </w:pPr>
      <w:r>
        <w:rPr>
          <w:rFonts w:hint="eastAsia" w:ascii="宋体" w:hAnsi="宋体" w:eastAsia="宋体" w:cs="宋体"/>
          <w:color w:val="auto"/>
          <w:sz w:val="36"/>
          <w:szCs w:val="36"/>
        </w:rPr>
        <w:t>采购人：重庆化工职业学院</w:t>
      </w:r>
    </w:p>
    <w:p w14:paraId="398B6854">
      <w:pPr>
        <w:spacing w:line="500" w:lineRule="exact"/>
        <w:jc w:val="center"/>
        <w:outlineLvl w:val="0"/>
        <w:rPr>
          <w:rFonts w:hint="eastAsia" w:ascii="宋体" w:hAnsi="宋体" w:eastAsia="宋体" w:cs="宋体"/>
          <w:color w:val="auto"/>
          <w:sz w:val="36"/>
          <w:szCs w:val="36"/>
        </w:rPr>
      </w:pPr>
      <w:r>
        <w:rPr>
          <w:rFonts w:hint="eastAsia" w:ascii="宋体" w:hAnsi="宋体" w:eastAsia="宋体" w:cs="宋体"/>
          <w:color w:val="auto"/>
          <w:sz w:val="36"/>
          <w:szCs w:val="36"/>
        </w:rPr>
        <w:t>采购代理机构：四川国际招标有限责任公司</w:t>
      </w:r>
    </w:p>
    <w:p w14:paraId="79A53C10">
      <w:pPr>
        <w:snapToGrid w:val="0"/>
        <w:spacing w:line="500" w:lineRule="exact"/>
        <w:jc w:val="center"/>
        <w:rPr>
          <w:rFonts w:hint="eastAsia" w:ascii="宋体" w:hAnsi="宋体" w:eastAsia="宋体" w:cs="宋体"/>
          <w:color w:val="auto"/>
          <w:sz w:val="36"/>
          <w:szCs w:val="36"/>
        </w:rPr>
      </w:pPr>
      <w:r>
        <w:rPr>
          <w:rFonts w:hint="eastAsia" w:ascii="宋体" w:hAnsi="宋体" w:eastAsia="宋体" w:cs="宋体"/>
          <w:color w:val="auto"/>
          <w:sz w:val="36"/>
          <w:szCs w:val="36"/>
        </w:rPr>
        <w:t>二○二</w:t>
      </w:r>
      <w:r>
        <w:rPr>
          <w:rFonts w:hint="eastAsia" w:ascii="宋体" w:hAnsi="宋体" w:eastAsia="宋体" w:cs="宋体"/>
          <w:color w:val="auto"/>
          <w:sz w:val="36"/>
          <w:szCs w:val="36"/>
          <w:lang w:val="en-US" w:eastAsia="zh-CN"/>
        </w:rPr>
        <w:t>五</w:t>
      </w:r>
      <w:r>
        <w:rPr>
          <w:rFonts w:hint="eastAsia" w:ascii="宋体" w:hAnsi="宋体" w:eastAsia="宋体" w:cs="宋体"/>
          <w:color w:val="auto"/>
          <w:sz w:val="36"/>
          <w:szCs w:val="36"/>
        </w:rPr>
        <w:t>年</w:t>
      </w:r>
      <w:r>
        <w:rPr>
          <w:rFonts w:hint="eastAsia" w:ascii="宋体" w:hAnsi="宋体" w:cs="宋体"/>
          <w:color w:val="auto"/>
          <w:sz w:val="36"/>
          <w:szCs w:val="36"/>
          <w:lang w:val="en-US" w:eastAsia="zh-CN"/>
        </w:rPr>
        <w:t>九</w:t>
      </w:r>
      <w:r>
        <w:rPr>
          <w:rFonts w:hint="eastAsia" w:ascii="宋体" w:hAnsi="宋体" w:eastAsia="宋体" w:cs="宋体"/>
          <w:color w:val="auto"/>
          <w:sz w:val="36"/>
          <w:szCs w:val="36"/>
        </w:rPr>
        <w:t>月</w:t>
      </w:r>
    </w:p>
    <w:p w14:paraId="5C160C4C">
      <w:pPr>
        <w:snapToGrid w:val="0"/>
        <w:spacing w:line="500" w:lineRule="exact"/>
        <w:rPr>
          <w:rFonts w:hint="eastAsia" w:ascii="宋体" w:hAnsi="宋体" w:eastAsia="宋体" w:cs="宋体"/>
          <w:color w:val="auto"/>
          <w:sz w:val="44"/>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5C4CEF75">
      <w:pPr>
        <w:snapToGrid w:val="0"/>
        <w:spacing w:line="500" w:lineRule="exact"/>
        <w:jc w:val="center"/>
        <w:rPr>
          <w:rFonts w:hint="eastAsia" w:ascii="宋体" w:hAnsi="宋体" w:eastAsia="宋体" w:cs="宋体"/>
          <w:color w:val="auto"/>
          <w:sz w:val="44"/>
        </w:rPr>
      </w:pPr>
      <w:r>
        <w:rPr>
          <w:rFonts w:hint="eastAsia" w:ascii="宋体" w:hAnsi="宋体" w:eastAsia="宋体" w:cs="宋体"/>
          <w:color w:val="auto"/>
          <w:sz w:val="44"/>
        </w:rPr>
        <w:t>目  录</w:t>
      </w:r>
    </w:p>
    <w:p w14:paraId="28964527">
      <w:pPr>
        <w:pStyle w:val="39"/>
        <w:tabs>
          <w:tab w:val="right" w:leader="dot" w:pos="9412"/>
          <w:tab w:val="clear" w:pos="1260"/>
          <w:tab w:val="clear" w:pos="1685"/>
          <w:tab w:val="clear" w:pos="8400"/>
        </w:tabs>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TOC \o "1-2" \h \z </w:instrText>
      </w:r>
      <w:r>
        <w:rPr>
          <w:rFonts w:hint="eastAsia" w:ascii="宋体" w:hAnsi="宋体" w:eastAsia="宋体" w:cs="宋体"/>
          <w:color w:val="auto"/>
          <w:sz w:val="21"/>
          <w:szCs w:val="21"/>
        </w:rPr>
        <w:fldChar w:fldCharType="separate"/>
      </w: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_Toc30352 </w:instrText>
      </w:r>
      <w:r>
        <w:rPr>
          <w:rFonts w:hint="eastAsia" w:ascii="宋体" w:hAnsi="宋体" w:eastAsia="宋体" w:cs="宋体"/>
          <w:szCs w:val="21"/>
        </w:rPr>
        <w:fldChar w:fldCharType="separate"/>
      </w:r>
      <w:r>
        <w:rPr>
          <w:rFonts w:hint="eastAsia" w:ascii="宋体" w:hAnsi="宋体" w:eastAsia="宋体" w:cs="宋体"/>
        </w:rPr>
        <w:t>第一篇 投标邀请书</w:t>
      </w:r>
      <w:r>
        <w:tab/>
      </w:r>
      <w:r>
        <w:fldChar w:fldCharType="begin"/>
      </w:r>
      <w:r>
        <w:instrText xml:space="preserve"> PAGEREF _Toc30352 \h </w:instrText>
      </w:r>
      <w:r>
        <w:fldChar w:fldCharType="separate"/>
      </w:r>
      <w:r>
        <w:t>- 3 -</w:t>
      </w:r>
      <w:r>
        <w:fldChar w:fldCharType="end"/>
      </w:r>
      <w:r>
        <w:rPr>
          <w:rFonts w:hint="eastAsia" w:ascii="宋体" w:hAnsi="宋体" w:eastAsia="宋体" w:cs="宋体"/>
          <w:color w:val="auto"/>
          <w:szCs w:val="21"/>
        </w:rPr>
        <w:fldChar w:fldCharType="end"/>
      </w:r>
    </w:p>
    <w:p w14:paraId="3ACDD8F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_Toc7217 </w:instrText>
      </w:r>
      <w:r>
        <w:rPr>
          <w:rFonts w:hint="eastAsia" w:ascii="宋体" w:hAnsi="宋体" w:eastAsia="宋体" w:cs="宋体"/>
          <w:szCs w:val="21"/>
        </w:rPr>
        <w:fldChar w:fldCharType="separate"/>
      </w:r>
      <w:r>
        <w:rPr>
          <w:rFonts w:hint="eastAsia" w:ascii="宋体" w:hAnsi="宋体" w:eastAsia="宋体" w:cs="宋体"/>
        </w:rPr>
        <w:t>一、招标项目内容</w:t>
      </w:r>
      <w:r>
        <w:tab/>
      </w:r>
      <w:r>
        <w:fldChar w:fldCharType="begin"/>
      </w:r>
      <w:r>
        <w:instrText xml:space="preserve"> PAGEREF _Toc7217 \h </w:instrText>
      </w:r>
      <w:r>
        <w:fldChar w:fldCharType="separate"/>
      </w:r>
      <w:r>
        <w:t>- 3 -</w:t>
      </w:r>
      <w:r>
        <w:fldChar w:fldCharType="end"/>
      </w:r>
      <w:r>
        <w:rPr>
          <w:rFonts w:hint="eastAsia" w:ascii="宋体" w:hAnsi="宋体" w:eastAsia="宋体" w:cs="宋体"/>
          <w:color w:val="auto"/>
          <w:szCs w:val="21"/>
        </w:rPr>
        <w:fldChar w:fldCharType="end"/>
      </w:r>
    </w:p>
    <w:p w14:paraId="48A133F2">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_Toc19075 </w:instrText>
      </w:r>
      <w:r>
        <w:rPr>
          <w:rFonts w:hint="eastAsia" w:ascii="宋体" w:hAnsi="宋体" w:eastAsia="宋体" w:cs="宋体"/>
          <w:szCs w:val="21"/>
        </w:rPr>
        <w:fldChar w:fldCharType="separate"/>
      </w:r>
      <w:r>
        <w:rPr>
          <w:rFonts w:hint="eastAsia" w:ascii="宋体" w:hAnsi="宋体" w:eastAsia="宋体" w:cs="宋体"/>
        </w:rPr>
        <w:t>二、资金来源</w:t>
      </w:r>
      <w:r>
        <w:tab/>
      </w:r>
      <w:r>
        <w:fldChar w:fldCharType="begin"/>
      </w:r>
      <w:r>
        <w:instrText xml:space="preserve"> PAGEREF _Toc19075 \h </w:instrText>
      </w:r>
      <w:r>
        <w:fldChar w:fldCharType="separate"/>
      </w:r>
      <w:r>
        <w:t>- 3 -</w:t>
      </w:r>
      <w:r>
        <w:fldChar w:fldCharType="end"/>
      </w:r>
      <w:r>
        <w:rPr>
          <w:rFonts w:hint="eastAsia" w:ascii="宋体" w:hAnsi="宋体" w:eastAsia="宋体" w:cs="宋体"/>
          <w:color w:val="auto"/>
          <w:szCs w:val="21"/>
        </w:rPr>
        <w:fldChar w:fldCharType="end"/>
      </w:r>
    </w:p>
    <w:p w14:paraId="7756F440">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_Toc3424 </w:instrText>
      </w:r>
      <w:r>
        <w:rPr>
          <w:rFonts w:hint="eastAsia" w:ascii="宋体" w:hAnsi="宋体" w:eastAsia="宋体" w:cs="宋体"/>
          <w:szCs w:val="21"/>
        </w:rPr>
        <w:fldChar w:fldCharType="separate"/>
      </w:r>
      <w:r>
        <w:rPr>
          <w:rFonts w:hint="eastAsia" w:ascii="宋体" w:hAnsi="宋体" w:eastAsia="宋体" w:cs="宋体"/>
          <w:highlight w:val="none"/>
        </w:rPr>
        <w:t>三、投标人资格要求</w:t>
      </w:r>
      <w:r>
        <w:tab/>
      </w:r>
      <w:r>
        <w:fldChar w:fldCharType="begin"/>
      </w:r>
      <w:r>
        <w:instrText xml:space="preserve"> PAGEREF _Toc3424 \h </w:instrText>
      </w:r>
      <w:r>
        <w:fldChar w:fldCharType="separate"/>
      </w:r>
      <w:r>
        <w:t>- 3 -</w:t>
      </w:r>
      <w:r>
        <w:fldChar w:fldCharType="end"/>
      </w:r>
      <w:r>
        <w:rPr>
          <w:rFonts w:hint="eastAsia" w:ascii="宋体" w:hAnsi="宋体" w:eastAsia="宋体" w:cs="宋体"/>
          <w:color w:val="auto"/>
          <w:szCs w:val="21"/>
        </w:rPr>
        <w:fldChar w:fldCharType="end"/>
      </w:r>
    </w:p>
    <w:p w14:paraId="0FE8BFEC">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_Toc6397 </w:instrText>
      </w:r>
      <w:r>
        <w:rPr>
          <w:rFonts w:hint="eastAsia" w:ascii="宋体" w:hAnsi="宋体" w:eastAsia="宋体" w:cs="宋体"/>
          <w:szCs w:val="21"/>
        </w:rPr>
        <w:fldChar w:fldCharType="separate"/>
      </w:r>
      <w:r>
        <w:rPr>
          <w:rFonts w:hint="eastAsia" w:ascii="宋体" w:hAnsi="宋体" w:eastAsia="宋体" w:cs="宋体"/>
        </w:rPr>
        <w:t>四、投标、开标有关说明</w:t>
      </w:r>
      <w:r>
        <w:tab/>
      </w:r>
      <w:r>
        <w:fldChar w:fldCharType="begin"/>
      </w:r>
      <w:r>
        <w:instrText xml:space="preserve"> PAGEREF _Toc6397 \h </w:instrText>
      </w:r>
      <w:r>
        <w:fldChar w:fldCharType="separate"/>
      </w:r>
      <w:r>
        <w:t>- 4 -</w:t>
      </w:r>
      <w:r>
        <w:fldChar w:fldCharType="end"/>
      </w:r>
      <w:r>
        <w:rPr>
          <w:rFonts w:hint="eastAsia" w:ascii="宋体" w:hAnsi="宋体" w:eastAsia="宋体" w:cs="宋体"/>
          <w:color w:val="auto"/>
          <w:szCs w:val="21"/>
        </w:rPr>
        <w:fldChar w:fldCharType="end"/>
      </w:r>
    </w:p>
    <w:p w14:paraId="158B8AF2">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_Toc118 </w:instrText>
      </w:r>
      <w:r>
        <w:rPr>
          <w:rFonts w:hint="eastAsia" w:ascii="宋体" w:hAnsi="宋体" w:eastAsia="宋体" w:cs="宋体"/>
          <w:szCs w:val="21"/>
        </w:rPr>
        <w:fldChar w:fldCharType="separate"/>
      </w:r>
      <w:r>
        <w:rPr>
          <w:rFonts w:hint="eastAsia" w:ascii="宋体" w:hAnsi="宋体" w:eastAsia="宋体" w:cs="宋体"/>
        </w:rPr>
        <w:t>五、投标保证金</w:t>
      </w:r>
      <w:r>
        <w:tab/>
      </w:r>
      <w:r>
        <w:fldChar w:fldCharType="begin"/>
      </w:r>
      <w:r>
        <w:instrText xml:space="preserve"> PAGEREF _Toc118 \h </w:instrText>
      </w:r>
      <w:r>
        <w:fldChar w:fldCharType="separate"/>
      </w:r>
      <w:r>
        <w:t>- 4 -</w:t>
      </w:r>
      <w:r>
        <w:fldChar w:fldCharType="end"/>
      </w:r>
      <w:r>
        <w:rPr>
          <w:rFonts w:hint="eastAsia" w:ascii="宋体" w:hAnsi="宋体" w:eastAsia="宋体" w:cs="宋体"/>
          <w:color w:val="auto"/>
          <w:szCs w:val="21"/>
        </w:rPr>
        <w:fldChar w:fldCharType="end"/>
      </w:r>
    </w:p>
    <w:p w14:paraId="45FF8FCA">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_Toc22089 </w:instrText>
      </w:r>
      <w:r>
        <w:rPr>
          <w:rFonts w:hint="eastAsia" w:ascii="宋体" w:hAnsi="宋体" w:eastAsia="宋体" w:cs="宋体"/>
          <w:szCs w:val="21"/>
        </w:rPr>
        <w:fldChar w:fldCharType="separate"/>
      </w:r>
      <w:r>
        <w:rPr>
          <w:rFonts w:hint="eastAsia" w:ascii="宋体" w:hAnsi="宋体" w:eastAsia="宋体" w:cs="宋体"/>
        </w:rPr>
        <w:t>六、采购项目需落实的政府采购政策</w:t>
      </w:r>
      <w:r>
        <w:tab/>
      </w:r>
      <w:r>
        <w:fldChar w:fldCharType="begin"/>
      </w:r>
      <w:r>
        <w:instrText xml:space="preserve"> PAGEREF _Toc22089 \h </w:instrText>
      </w:r>
      <w:r>
        <w:fldChar w:fldCharType="separate"/>
      </w:r>
      <w:r>
        <w:t>- 5 -</w:t>
      </w:r>
      <w:r>
        <w:fldChar w:fldCharType="end"/>
      </w:r>
      <w:r>
        <w:rPr>
          <w:rFonts w:hint="eastAsia" w:ascii="宋体" w:hAnsi="宋体" w:eastAsia="宋体" w:cs="宋体"/>
          <w:color w:val="auto"/>
          <w:szCs w:val="21"/>
        </w:rPr>
        <w:fldChar w:fldCharType="end"/>
      </w:r>
    </w:p>
    <w:p w14:paraId="206711F2">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_Toc28299 </w:instrText>
      </w:r>
      <w:r>
        <w:rPr>
          <w:rFonts w:hint="eastAsia" w:ascii="宋体" w:hAnsi="宋体" w:eastAsia="宋体" w:cs="宋体"/>
          <w:szCs w:val="21"/>
        </w:rPr>
        <w:fldChar w:fldCharType="separate"/>
      </w:r>
      <w:r>
        <w:rPr>
          <w:rFonts w:hint="eastAsia" w:ascii="宋体" w:hAnsi="宋体" w:eastAsia="宋体" w:cs="宋体"/>
        </w:rPr>
        <w:t>七、投标有关规定</w:t>
      </w:r>
      <w:r>
        <w:tab/>
      </w:r>
      <w:r>
        <w:fldChar w:fldCharType="begin"/>
      </w:r>
      <w:r>
        <w:instrText xml:space="preserve"> PAGEREF _Toc28299 \h </w:instrText>
      </w:r>
      <w:r>
        <w:fldChar w:fldCharType="separate"/>
      </w:r>
      <w:r>
        <w:t>- 6 -</w:t>
      </w:r>
      <w:r>
        <w:fldChar w:fldCharType="end"/>
      </w:r>
      <w:r>
        <w:rPr>
          <w:rFonts w:hint="eastAsia" w:ascii="宋体" w:hAnsi="宋体" w:eastAsia="宋体" w:cs="宋体"/>
          <w:color w:val="auto"/>
          <w:szCs w:val="21"/>
        </w:rPr>
        <w:fldChar w:fldCharType="end"/>
      </w:r>
    </w:p>
    <w:p w14:paraId="0E254F8C">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_Toc23880 </w:instrText>
      </w:r>
      <w:r>
        <w:rPr>
          <w:rFonts w:hint="eastAsia" w:ascii="宋体" w:hAnsi="宋体" w:eastAsia="宋体" w:cs="宋体"/>
          <w:szCs w:val="21"/>
        </w:rPr>
        <w:fldChar w:fldCharType="separate"/>
      </w:r>
      <w:r>
        <w:rPr>
          <w:rFonts w:hint="eastAsia" w:ascii="宋体" w:hAnsi="宋体" w:eastAsia="宋体" w:cs="宋体"/>
        </w:rPr>
        <w:t>八、联系方式</w:t>
      </w:r>
      <w:r>
        <w:tab/>
      </w:r>
      <w:r>
        <w:fldChar w:fldCharType="begin"/>
      </w:r>
      <w:r>
        <w:instrText xml:space="preserve"> PAGEREF _Toc23880 \h </w:instrText>
      </w:r>
      <w:r>
        <w:fldChar w:fldCharType="separate"/>
      </w:r>
      <w:r>
        <w:t>- 6 -</w:t>
      </w:r>
      <w:r>
        <w:fldChar w:fldCharType="end"/>
      </w:r>
      <w:r>
        <w:rPr>
          <w:rFonts w:hint="eastAsia" w:ascii="宋体" w:hAnsi="宋体" w:eastAsia="宋体" w:cs="宋体"/>
          <w:color w:val="auto"/>
          <w:szCs w:val="21"/>
        </w:rPr>
        <w:fldChar w:fldCharType="end"/>
      </w:r>
    </w:p>
    <w:p w14:paraId="5A5F9F0C">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_Toc7285 </w:instrText>
      </w:r>
      <w:r>
        <w:rPr>
          <w:rFonts w:hint="eastAsia" w:ascii="宋体" w:hAnsi="宋体" w:eastAsia="宋体" w:cs="宋体"/>
          <w:szCs w:val="21"/>
        </w:rPr>
        <w:fldChar w:fldCharType="separate"/>
      </w:r>
      <w:r>
        <w:rPr>
          <w:rFonts w:hint="eastAsia" w:ascii="宋体" w:hAnsi="宋体" w:eastAsia="宋体" w:cs="宋体"/>
        </w:rPr>
        <w:t>第二篇 项目技术（质量）需求</w:t>
      </w:r>
      <w:r>
        <w:tab/>
      </w:r>
      <w:r>
        <w:fldChar w:fldCharType="begin"/>
      </w:r>
      <w:r>
        <w:instrText xml:space="preserve"> PAGEREF _Toc7285 \h </w:instrText>
      </w:r>
      <w:r>
        <w:fldChar w:fldCharType="separate"/>
      </w:r>
      <w:r>
        <w:t>- 7 -</w:t>
      </w:r>
      <w:r>
        <w:fldChar w:fldCharType="end"/>
      </w:r>
      <w:r>
        <w:rPr>
          <w:rFonts w:hint="eastAsia" w:ascii="宋体" w:hAnsi="宋体" w:eastAsia="宋体" w:cs="宋体"/>
          <w:color w:val="auto"/>
          <w:szCs w:val="21"/>
        </w:rPr>
        <w:fldChar w:fldCharType="end"/>
      </w:r>
    </w:p>
    <w:p w14:paraId="1CF00C2C">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_Toc26351 </w:instrText>
      </w:r>
      <w:r>
        <w:rPr>
          <w:rFonts w:hint="eastAsia" w:ascii="宋体" w:hAnsi="宋体" w:eastAsia="宋体" w:cs="宋体"/>
          <w:szCs w:val="21"/>
        </w:rPr>
        <w:fldChar w:fldCharType="separate"/>
      </w:r>
      <w:r>
        <w:rPr>
          <w:rFonts w:hint="eastAsia" w:ascii="宋体" w:hAnsi="宋体" w:eastAsia="宋体" w:cs="宋体"/>
          <w:lang w:val="en-US" w:eastAsia="zh-CN"/>
        </w:rPr>
        <w:t>第三篇  项目商务需求</w:t>
      </w:r>
      <w:r>
        <w:tab/>
      </w:r>
      <w:r>
        <w:fldChar w:fldCharType="begin"/>
      </w:r>
      <w:r>
        <w:instrText xml:space="preserve"> PAGEREF _Toc26351 \h </w:instrText>
      </w:r>
      <w:r>
        <w:fldChar w:fldCharType="separate"/>
      </w:r>
      <w:r>
        <w:t>- 52 -</w:t>
      </w:r>
      <w:r>
        <w:fldChar w:fldCharType="end"/>
      </w:r>
      <w:r>
        <w:rPr>
          <w:rFonts w:hint="eastAsia" w:ascii="宋体" w:hAnsi="宋体" w:eastAsia="宋体" w:cs="宋体"/>
          <w:color w:val="auto"/>
          <w:szCs w:val="21"/>
        </w:rPr>
        <w:fldChar w:fldCharType="end"/>
      </w:r>
    </w:p>
    <w:p w14:paraId="33CDF25B">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_Toc12526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一、交货期、交货地点及验收方式</w:t>
      </w:r>
      <w:r>
        <w:tab/>
      </w:r>
      <w:r>
        <w:fldChar w:fldCharType="begin"/>
      </w:r>
      <w:r>
        <w:instrText xml:space="preserve"> PAGEREF _Toc12526 \h </w:instrText>
      </w:r>
      <w:r>
        <w:fldChar w:fldCharType="separate"/>
      </w:r>
      <w:r>
        <w:t>- 52 -</w:t>
      </w:r>
      <w:r>
        <w:fldChar w:fldCharType="end"/>
      </w:r>
      <w:r>
        <w:rPr>
          <w:rFonts w:hint="eastAsia" w:ascii="宋体" w:hAnsi="宋体" w:eastAsia="宋体" w:cs="宋体"/>
          <w:color w:val="auto"/>
          <w:szCs w:val="21"/>
        </w:rPr>
        <w:fldChar w:fldCharType="end"/>
      </w:r>
    </w:p>
    <w:p w14:paraId="75083B94">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_Toc21086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二、报价要求</w:t>
      </w:r>
      <w:r>
        <w:tab/>
      </w:r>
      <w:r>
        <w:fldChar w:fldCharType="begin"/>
      </w:r>
      <w:r>
        <w:instrText xml:space="preserve"> PAGEREF _Toc21086 \h </w:instrText>
      </w:r>
      <w:r>
        <w:fldChar w:fldCharType="separate"/>
      </w:r>
      <w:r>
        <w:t>- 52 -</w:t>
      </w:r>
      <w:r>
        <w:fldChar w:fldCharType="end"/>
      </w:r>
      <w:r>
        <w:rPr>
          <w:rFonts w:hint="eastAsia" w:ascii="宋体" w:hAnsi="宋体" w:eastAsia="宋体" w:cs="宋体"/>
          <w:color w:val="auto"/>
          <w:szCs w:val="21"/>
        </w:rPr>
        <w:fldChar w:fldCharType="end"/>
      </w:r>
    </w:p>
    <w:p w14:paraId="02AE5043">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_Toc15540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三、质量保证及售后服务</w:t>
      </w:r>
      <w:r>
        <w:tab/>
      </w:r>
      <w:r>
        <w:fldChar w:fldCharType="begin"/>
      </w:r>
      <w:r>
        <w:instrText xml:space="preserve"> PAGEREF _Toc15540 \h </w:instrText>
      </w:r>
      <w:r>
        <w:fldChar w:fldCharType="separate"/>
      </w:r>
      <w:r>
        <w:t>- 53 -</w:t>
      </w:r>
      <w:r>
        <w:fldChar w:fldCharType="end"/>
      </w:r>
      <w:r>
        <w:rPr>
          <w:rFonts w:hint="eastAsia" w:ascii="宋体" w:hAnsi="宋体" w:eastAsia="宋体" w:cs="宋体"/>
          <w:color w:val="auto"/>
          <w:szCs w:val="21"/>
        </w:rPr>
        <w:fldChar w:fldCharType="end"/>
      </w:r>
    </w:p>
    <w:p w14:paraId="09A7A426">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_Toc27379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四、付款方式</w:t>
      </w:r>
      <w:r>
        <w:tab/>
      </w:r>
      <w:r>
        <w:fldChar w:fldCharType="begin"/>
      </w:r>
      <w:r>
        <w:instrText xml:space="preserve"> PAGEREF _Toc27379 \h </w:instrText>
      </w:r>
      <w:r>
        <w:fldChar w:fldCharType="separate"/>
      </w:r>
      <w:r>
        <w:t>- 53 -</w:t>
      </w:r>
      <w:r>
        <w:fldChar w:fldCharType="end"/>
      </w:r>
      <w:r>
        <w:rPr>
          <w:rFonts w:hint="eastAsia" w:ascii="宋体" w:hAnsi="宋体" w:eastAsia="宋体" w:cs="宋体"/>
          <w:color w:val="auto"/>
          <w:szCs w:val="21"/>
        </w:rPr>
        <w:fldChar w:fldCharType="end"/>
      </w:r>
    </w:p>
    <w:p w14:paraId="3B26EACF">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_Toc19678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szCs w:val="24"/>
        </w:rPr>
        <w:t>五、知识产权</w:t>
      </w:r>
      <w:r>
        <w:tab/>
      </w:r>
      <w:r>
        <w:fldChar w:fldCharType="begin"/>
      </w:r>
      <w:r>
        <w:instrText xml:space="preserve"> PAGEREF _Toc19678 \h </w:instrText>
      </w:r>
      <w:r>
        <w:fldChar w:fldCharType="separate"/>
      </w:r>
      <w:r>
        <w:t>- 54 -</w:t>
      </w:r>
      <w:r>
        <w:fldChar w:fldCharType="end"/>
      </w:r>
      <w:r>
        <w:rPr>
          <w:rFonts w:hint="eastAsia" w:ascii="宋体" w:hAnsi="宋体" w:eastAsia="宋体" w:cs="宋体"/>
          <w:color w:val="auto"/>
          <w:szCs w:val="21"/>
        </w:rPr>
        <w:fldChar w:fldCharType="end"/>
      </w:r>
    </w:p>
    <w:p w14:paraId="110361E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_Toc979 </w:instrText>
      </w:r>
      <w:r>
        <w:rPr>
          <w:rFonts w:hint="eastAsia" w:ascii="宋体" w:hAnsi="宋体" w:eastAsia="宋体" w:cs="宋体"/>
          <w:szCs w:val="21"/>
        </w:rPr>
        <w:fldChar w:fldCharType="separate"/>
      </w:r>
      <w:r>
        <w:rPr>
          <w:rFonts w:hint="eastAsia" w:ascii="宋体" w:hAnsi="宋体" w:eastAsia="宋体" w:cs="宋体"/>
          <w:bCs/>
          <w:kern w:val="0"/>
          <w:szCs w:val="24"/>
        </w:rPr>
        <w:t>※六、培训</w:t>
      </w:r>
      <w:r>
        <w:tab/>
      </w:r>
      <w:r>
        <w:fldChar w:fldCharType="begin"/>
      </w:r>
      <w:r>
        <w:instrText xml:space="preserve"> PAGEREF _Toc979 \h </w:instrText>
      </w:r>
      <w:r>
        <w:fldChar w:fldCharType="separate"/>
      </w:r>
      <w:r>
        <w:t>- 54 -</w:t>
      </w:r>
      <w:r>
        <w:fldChar w:fldCharType="end"/>
      </w:r>
      <w:r>
        <w:rPr>
          <w:rFonts w:hint="eastAsia" w:ascii="宋体" w:hAnsi="宋体" w:eastAsia="宋体" w:cs="宋体"/>
          <w:color w:val="auto"/>
          <w:szCs w:val="21"/>
        </w:rPr>
        <w:fldChar w:fldCharType="end"/>
      </w:r>
    </w:p>
    <w:p w14:paraId="0AAC33AB">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_Toc8389 </w:instrText>
      </w:r>
      <w:r>
        <w:rPr>
          <w:rFonts w:hint="eastAsia" w:ascii="宋体" w:hAnsi="宋体" w:eastAsia="宋体" w:cs="宋体"/>
          <w:szCs w:val="21"/>
        </w:rPr>
        <w:fldChar w:fldCharType="separate"/>
      </w:r>
      <w:r>
        <w:rPr>
          <w:rFonts w:hint="eastAsia" w:ascii="宋体" w:hAnsi="宋体" w:eastAsia="宋体" w:cs="宋体"/>
          <w:kern w:val="0"/>
          <w:szCs w:val="24"/>
        </w:rPr>
        <w:t>※</w:t>
      </w:r>
      <w:r>
        <w:rPr>
          <w:rFonts w:hint="eastAsia" w:ascii="宋体" w:hAnsi="宋体" w:eastAsia="宋体" w:cs="宋体"/>
        </w:rPr>
        <w:t>七、附件、图纸及包装要求</w:t>
      </w:r>
      <w:r>
        <w:tab/>
      </w:r>
      <w:r>
        <w:fldChar w:fldCharType="begin"/>
      </w:r>
      <w:r>
        <w:instrText xml:space="preserve"> PAGEREF _Toc8389 \h </w:instrText>
      </w:r>
      <w:r>
        <w:fldChar w:fldCharType="separate"/>
      </w:r>
      <w:r>
        <w:t>- 54 -</w:t>
      </w:r>
      <w:r>
        <w:fldChar w:fldCharType="end"/>
      </w:r>
      <w:r>
        <w:rPr>
          <w:rFonts w:hint="eastAsia" w:ascii="宋体" w:hAnsi="宋体" w:eastAsia="宋体" w:cs="宋体"/>
          <w:color w:val="auto"/>
          <w:szCs w:val="21"/>
        </w:rPr>
        <w:fldChar w:fldCharType="end"/>
      </w:r>
    </w:p>
    <w:p w14:paraId="441CBAC2">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_Toc15534 </w:instrText>
      </w:r>
      <w:r>
        <w:rPr>
          <w:rFonts w:hint="eastAsia" w:ascii="宋体" w:hAnsi="宋体" w:eastAsia="宋体" w:cs="宋体"/>
          <w:szCs w:val="21"/>
        </w:rPr>
        <w:fldChar w:fldCharType="separate"/>
      </w:r>
      <w:r>
        <w:rPr>
          <w:rFonts w:hint="eastAsia" w:ascii="宋体" w:hAnsi="宋体" w:eastAsia="宋体" w:cs="宋体"/>
        </w:rPr>
        <w:t>第四篇  资格审查及评标办法</w:t>
      </w:r>
      <w:r>
        <w:tab/>
      </w:r>
      <w:r>
        <w:fldChar w:fldCharType="begin"/>
      </w:r>
      <w:r>
        <w:instrText xml:space="preserve"> PAGEREF _Toc15534 \h </w:instrText>
      </w:r>
      <w:r>
        <w:fldChar w:fldCharType="separate"/>
      </w:r>
      <w:r>
        <w:t>- 55 -</w:t>
      </w:r>
      <w:r>
        <w:fldChar w:fldCharType="end"/>
      </w:r>
      <w:r>
        <w:rPr>
          <w:rFonts w:hint="eastAsia" w:ascii="宋体" w:hAnsi="宋体" w:eastAsia="宋体" w:cs="宋体"/>
          <w:color w:val="auto"/>
          <w:szCs w:val="21"/>
        </w:rPr>
        <w:fldChar w:fldCharType="end"/>
      </w:r>
    </w:p>
    <w:p w14:paraId="0196C68C">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_Toc10278 </w:instrText>
      </w:r>
      <w:r>
        <w:rPr>
          <w:rFonts w:hint="eastAsia" w:ascii="宋体" w:hAnsi="宋体" w:eastAsia="宋体" w:cs="宋体"/>
          <w:szCs w:val="21"/>
        </w:rPr>
        <w:fldChar w:fldCharType="separate"/>
      </w:r>
      <w:r>
        <w:rPr>
          <w:rFonts w:hint="eastAsia" w:ascii="宋体" w:hAnsi="宋体" w:eastAsia="宋体" w:cs="宋体"/>
          <w:szCs w:val="24"/>
        </w:rPr>
        <w:t>一、资格审查及符合性审查</w:t>
      </w:r>
      <w:r>
        <w:tab/>
      </w:r>
      <w:r>
        <w:fldChar w:fldCharType="begin"/>
      </w:r>
      <w:r>
        <w:instrText xml:space="preserve"> PAGEREF _Toc10278 \h </w:instrText>
      </w:r>
      <w:r>
        <w:fldChar w:fldCharType="separate"/>
      </w:r>
      <w:r>
        <w:t>- 55 -</w:t>
      </w:r>
      <w:r>
        <w:fldChar w:fldCharType="end"/>
      </w:r>
      <w:r>
        <w:rPr>
          <w:rFonts w:hint="eastAsia" w:ascii="宋体" w:hAnsi="宋体" w:eastAsia="宋体" w:cs="宋体"/>
          <w:color w:val="auto"/>
          <w:szCs w:val="21"/>
        </w:rPr>
        <w:fldChar w:fldCharType="end"/>
      </w:r>
    </w:p>
    <w:p w14:paraId="265BEDE6">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_Toc8662 </w:instrText>
      </w:r>
      <w:r>
        <w:rPr>
          <w:rFonts w:hint="eastAsia" w:ascii="宋体" w:hAnsi="宋体" w:eastAsia="宋体" w:cs="宋体"/>
          <w:szCs w:val="21"/>
        </w:rPr>
        <w:fldChar w:fldCharType="separate"/>
      </w:r>
      <w:r>
        <w:rPr>
          <w:rFonts w:hint="eastAsia" w:ascii="宋体" w:hAnsi="宋体" w:eastAsia="宋体" w:cs="宋体"/>
          <w:szCs w:val="24"/>
        </w:rPr>
        <w:t>二、评标方法</w:t>
      </w:r>
      <w:r>
        <w:tab/>
      </w:r>
      <w:r>
        <w:fldChar w:fldCharType="begin"/>
      </w:r>
      <w:r>
        <w:instrText xml:space="preserve"> PAGEREF _Toc8662 \h </w:instrText>
      </w:r>
      <w:r>
        <w:fldChar w:fldCharType="separate"/>
      </w:r>
      <w:r>
        <w:t>- 56 -</w:t>
      </w:r>
      <w:r>
        <w:fldChar w:fldCharType="end"/>
      </w:r>
      <w:r>
        <w:rPr>
          <w:rFonts w:hint="eastAsia" w:ascii="宋体" w:hAnsi="宋体" w:eastAsia="宋体" w:cs="宋体"/>
          <w:color w:val="auto"/>
          <w:szCs w:val="21"/>
        </w:rPr>
        <w:fldChar w:fldCharType="end"/>
      </w:r>
    </w:p>
    <w:p w14:paraId="55C00512">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_Toc21357 </w:instrText>
      </w:r>
      <w:r>
        <w:rPr>
          <w:rFonts w:hint="eastAsia" w:ascii="宋体" w:hAnsi="宋体" w:eastAsia="宋体" w:cs="宋体"/>
          <w:szCs w:val="21"/>
        </w:rPr>
        <w:fldChar w:fldCharType="separate"/>
      </w:r>
      <w:r>
        <w:rPr>
          <w:rFonts w:hint="eastAsia" w:ascii="宋体" w:hAnsi="宋体" w:eastAsia="宋体" w:cs="宋体"/>
          <w:szCs w:val="24"/>
        </w:rPr>
        <w:t>三、评标标准</w:t>
      </w:r>
      <w:r>
        <w:tab/>
      </w:r>
      <w:r>
        <w:fldChar w:fldCharType="begin"/>
      </w:r>
      <w:r>
        <w:instrText xml:space="preserve"> PAGEREF _Toc21357 \h </w:instrText>
      </w:r>
      <w:r>
        <w:fldChar w:fldCharType="separate"/>
      </w:r>
      <w:r>
        <w:t>- 57 -</w:t>
      </w:r>
      <w:r>
        <w:fldChar w:fldCharType="end"/>
      </w:r>
      <w:r>
        <w:rPr>
          <w:rFonts w:hint="eastAsia" w:ascii="宋体" w:hAnsi="宋体" w:eastAsia="宋体" w:cs="宋体"/>
          <w:color w:val="auto"/>
          <w:szCs w:val="21"/>
        </w:rPr>
        <w:fldChar w:fldCharType="end"/>
      </w:r>
    </w:p>
    <w:p w14:paraId="64FB0E42">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_Toc10722 </w:instrText>
      </w:r>
      <w:r>
        <w:rPr>
          <w:rFonts w:hint="eastAsia" w:ascii="宋体" w:hAnsi="宋体" w:eastAsia="宋体" w:cs="宋体"/>
          <w:szCs w:val="21"/>
        </w:rPr>
        <w:fldChar w:fldCharType="separate"/>
      </w:r>
      <w:r>
        <w:rPr>
          <w:rFonts w:hint="eastAsia" w:ascii="宋体" w:hAnsi="宋体" w:eastAsia="宋体" w:cs="宋体"/>
          <w:szCs w:val="24"/>
        </w:rPr>
        <w:t>四、无效投标条款</w:t>
      </w:r>
      <w:r>
        <w:tab/>
      </w:r>
      <w:r>
        <w:fldChar w:fldCharType="begin"/>
      </w:r>
      <w:r>
        <w:instrText xml:space="preserve"> PAGEREF _Toc10722 \h </w:instrText>
      </w:r>
      <w:r>
        <w:fldChar w:fldCharType="separate"/>
      </w:r>
      <w:r>
        <w:t>- 59 -</w:t>
      </w:r>
      <w:r>
        <w:fldChar w:fldCharType="end"/>
      </w:r>
      <w:r>
        <w:rPr>
          <w:rFonts w:hint="eastAsia" w:ascii="宋体" w:hAnsi="宋体" w:eastAsia="宋体" w:cs="宋体"/>
          <w:color w:val="auto"/>
          <w:szCs w:val="21"/>
        </w:rPr>
        <w:fldChar w:fldCharType="end"/>
      </w:r>
    </w:p>
    <w:p w14:paraId="1A01AE28">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_Toc20299 </w:instrText>
      </w:r>
      <w:r>
        <w:rPr>
          <w:rFonts w:hint="eastAsia" w:ascii="宋体" w:hAnsi="宋体" w:eastAsia="宋体" w:cs="宋体"/>
          <w:szCs w:val="21"/>
        </w:rPr>
        <w:fldChar w:fldCharType="separate"/>
      </w:r>
      <w:r>
        <w:rPr>
          <w:rFonts w:hint="eastAsia" w:ascii="宋体" w:hAnsi="宋体" w:eastAsia="宋体" w:cs="宋体"/>
          <w:szCs w:val="24"/>
        </w:rPr>
        <w:t>五、废标条款</w:t>
      </w:r>
      <w:r>
        <w:tab/>
      </w:r>
      <w:r>
        <w:fldChar w:fldCharType="begin"/>
      </w:r>
      <w:r>
        <w:instrText xml:space="preserve"> PAGEREF _Toc20299 \h </w:instrText>
      </w:r>
      <w:r>
        <w:fldChar w:fldCharType="separate"/>
      </w:r>
      <w:r>
        <w:t>- 59 -</w:t>
      </w:r>
      <w:r>
        <w:fldChar w:fldCharType="end"/>
      </w:r>
      <w:r>
        <w:rPr>
          <w:rFonts w:hint="eastAsia" w:ascii="宋体" w:hAnsi="宋体" w:eastAsia="宋体" w:cs="宋体"/>
          <w:color w:val="auto"/>
          <w:szCs w:val="21"/>
        </w:rPr>
        <w:fldChar w:fldCharType="end"/>
      </w:r>
    </w:p>
    <w:p w14:paraId="37400A99">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_Toc25957 </w:instrText>
      </w:r>
      <w:r>
        <w:rPr>
          <w:rFonts w:hint="eastAsia" w:ascii="宋体" w:hAnsi="宋体" w:eastAsia="宋体" w:cs="宋体"/>
          <w:szCs w:val="21"/>
        </w:rPr>
        <w:fldChar w:fldCharType="separate"/>
      </w:r>
      <w:r>
        <w:rPr>
          <w:rFonts w:hint="eastAsia" w:ascii="宋体" w:hAnsi="宋体" w:eastAsia="宋体" w:cs="宋体"/>
        </w:rPr>
        <w:t>第五篇  投标人须知</w:t>
      </w:r>
      <w:r>
        <w:tab/>
      </w:r>
      <w:r>
        <w:fldChar w:fldCharType="begin"/>
      </w:r>
      <w:r>
        <w:instrText xml:space="preserve"> PAGEREF _Toc25957 \h </w:instrText>
      </w:r>
      <w:r>
        <w:fldChar w:fldCharType="separate"/>
      </w:r>
      <w:r>
        <w:t>- 60 -</w:t>
      </w:r>
      <w:r>
        <w:fldChar w:fldCharType="end"/>
      </w:r>
      <w:r>
        <w:rPr>
          <w:rFonts w:hint="eastAsia" w:ascii="宋体" w:hAnsi="宋体" w:eastAsia="宋体" w:cs="宋体"/>
          <w:color w:val="auto"/>
          <w:szCs w:val="21"/>
        </w:rPr>
        <w:fldChar w:fldCharType="end"/>
      </w:r>
    </w:p>
    <w:p w14:paraId="6478600A">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_Toc19973 </w:instrText>
      </w:r>
      <w:r>
        <w:rPr>
          <w:rFonts w:hint="eastAsia" w:ascii="宋体" w:hAnsi="宋体" w:eastAsia="宋体" w:cs="宋体"/>
          <w:szCs w:val="21"/>
        </w:rPr>
        <w:fldChar w:fldCharType="separate"/>
      </w:r>
      <w:r>
        <w:rPr>
          <w:rFonts w:hint="eastAsia" w:ascii="宋体" w:hAnsi="宋体" w:eastAsia="宋体" w:cs="宋体"/>
        </w:rPr>
        <w:t>一、投标人</w:t>
      </w:r>
      <w:r>
        <w:tab/>
      </w:r>
      <w:r>
        <w:fldChar w:fldCharType="begin"/>
      </w:r>
      <w:r>
        <w:instrText xml:space="preserve"> PAGEREF _Toc19973 \h </w:instrText>
      </w:r>
      <w:r>
        <w:fldChar w:fldCharType="separate"/>
      </w:r>
      <w:r>
        <w:t>- 60 -</w:t>
      </w:r>
      <w:r>
        <w:fldChar w:fldCharType="end"/>
      </w:r>
      <w:r>
        <w:rPr>
          <w:rFonts w:hint="eastAsia" w:ascii="宋体" w:hAnsi="宋体" w:eastAsia="宋体" w:cs="宋体"/>
          <w:color w:val="auto"/>
          <w:szCs w:val="21"/>
        </w:rPr>
        <w:fldChar w:fldCharType="end"/>
      </w:r>
    </w:p>
    <w:p w14:paraId="773ACD8F">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_Toc6546 </w:instrText>
      </w:r>
      <w:r>
        <w:rPr>
          <w:rFonts w:hint="eastAsia" w:ascii="宋体" w:hAnsi="宋体" w:eastAsia="宋体" w:cs="宋体"/>
          <w:szCs w:val="21"/>
        </w:rPr>
        <w:fldChar w:fldCharType="separate"/>
      </w:r>
      <w:r>
        <w:rPr>
          <w:rFonts w:hint="eastAsia" w:ascii="宋体" w:hAnsi="宋体" w:eastAsia="宋体" w:cs="宋体"/>
        </w:rPr>
        <w:t>二、招标文件</w:t>
      </w:r>
      <w:r>
        <w:tab/>
      </w:r>
      <w:r>
        <w:fldChar w:fldCharType="begin"/>
      </w:r>
      <w:r>
        <w:instrText xml:space="preserve"> PAGEREF _Toc6546 \h </w:instrText>
      </w:r>
      <w:r>
        <w:fldChar w:fldCharType="separate"/>
      </w:r>
      <w:r>
        <w:t>- 60 -</w:t>
      </w:r>
      <w:r>
        <w:fldChar w:fldCharType="end"/>
      </w:r>
      <w:r>
        <w:rPr>
          <w:rFonts w:hint="eastAsia" w:ascii="宋体" w:hAnsi="宋体" w:eastAsia="宋体" w:cs="宋体"/>
          <w:color w:val="auto"/>
          <w:szCs w:val="21"/>
        </w:rPr>
        <w:fldChar w:fldCharType="end"/>
      </w:r>
    </w:p>
    <w:p w14:paraId="3E45EE09">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_Toc21525 </w:instrText>
      </w:r>
      <w:r>
        <w:rPr>
          <w:rFonts w:hint="eastAsia" w:ascii="宋体" w:hAnsi="宋体" w:eastAsia="宋体" w:cs="宋体"/>
          <w:szCs w:val="21"/>
        </w:rPr>
        <w:fldChar w:fldCharType="separate"/>
      </w:r>
      <w:r>
        <w:rPr>
          <w:rFonts w:hint="eastAsia" w:ascii="宋体" w:hAnsi="宋体" w:eastAsia="宋体" w:cs="宋体"/>
        </w:rPr>
        <w:t>三、投标文件</w:t>
      </w:r>
      <w:r>
        <w:tab/>
      </w:r>
      <w:r>
        <w:fldChar w:fldCharType="begin"/>
      </w:r>
      <w:r>
        <w:instrText xml:space="preserve"> PAGEREF _Toc21525 \h </w:instrText>
      </w:r>
      <w:r>
        <w:fldChar w:fldCharType="separate"/>
      </w:r>
      <w:r>
        <w:t>- 60 -</w:t>
      </w:r>
      <w:r>
        <w:fldChar w:fldCharType="end"/>
      </w:r>
      <w:r>
        <w:rPr>
          <w:rFonts w:hint="eastAsia" w:ascii="宋体" w:hAnsi="宋体" w:eastAsia="宋体" w:cs="宋体"/>
          <w:color w:val="auto"/>
          <w:szCs w:val="21"/>
        </w:rPr>
        <w:fldChar w:fldCharType="end"/>
      </w:r>
    </w:p>
    <w:p w14:paraId="031C148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_Toc1213 </w:instrText>
      </w:r>
      <w:r>
        <w:rPr>
          <w:rFonts w:hint="eastAsia" w:ascii="宋体" w:hAnsi="宋体" w:eastAsia="宋体" w:cs="宋体"/>
          <w:szCs w:val="21"/>
        </w:rPr>
        <w:fldChar w:fldCharType="separate"/>
      </w:r>
      <w:r>
        <w:rPr>
          <w:rFonts w:hint="eastAsia" w:ascii="宋体" w:hAnsi="宋体" w:eastAsia="宋体" w:cs="宋体"/>
        </w:rPr>
        <w:t>四、开标</w:t>
      </w:r>
      <w:r>
        <w:tab/>
      </w:r>
      <w:r>
        <w:fldChar w:fldCharType="begin"/>
      </w:r>
      <w:r>
        <w:instrText xml:space="preserve"> PAGEREF _Toc1213 \h </w:instrText>
      </w:r>
      <w:r>
        <w:fldChar w:fldCharType="separate"/>
      </w:r>
      <w:r>
        <w:t>- 62 -</w:t>
      </w:r>
      <w:r>
        <w:fldChar w:fldCharType="end"/>
      </w:r>
      <w:r>
        <w:rPr>
          <w:rFonts w:hint="eastAsia" w:ascii="宋体" w:hAnsi="宋体" w:eastAsia="宋体" w:cs="宋体"/>
          <w:color w:val="auto"/>
          <w:szCs w:val="21"/>
        </w:rPr>
        <w:fldChar w:fldCharType="end"/>
      </w:r>
    </w:p>
    <w:p w14:paraId="005E9036">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_Toc27423 </w:instrText>
      </w:r>
      <w:r>
        <w:rPr>
          <w:rFonts w:hint="eastAsia" w:ascii="宋体" w:hAnsi="宋体" w:eastAsia="宋体" w:cs="宋体"/>
          <w:szCs w:val="21"/>
        </w:rPr>
        <w:fldChar w:fldCharType="separate"/>
      </w:r>
      <w:r>
        <w:rPr>
          <w:rFonts w:hint="eastAsia" w:ascii="宋体" w:hAnsi="宋体" w:eastAsia="宋体" w:cs="宋体"/>
        </w:rPr>
        <w:t>五、评标</w:t>
      </w:r>
      <w:r>
        <w:tab/>
      </w:r>
      <w:r>
        <w:fldChar w:fldCharType="begin"/>
      </w:r>
      <w:r>
        <w:instrText xml:space="preserve"> PAGEREF _Toc27423 \h </w:instrText>
      </w:r>
      <w:r>
        <w:fldChar w:fldCharType="separate"/>
      </w:r>
      <w:r>
        <w:t>- 63 -</w:t>
      </w:r>
      <w:r>
        <w:fldChar w:fldCharType="end"/>
      </w:r>
      <w:r>
        <w:rPr>
          <w:rFonts w:hint="eastAsia" w:ascii="宋体" w:hAnsi="宋体" w:eastAsia="宋体" w:cs="宋体"/>
          <w:color w:val="auto"/>
          <w:szCs w:val="21"/>
        </w:rPr>
        <w:fldChar w:fldCharType="end"/>
      </w:r>
    </w:p>
    <w:p w14:paraId="2CE1D0AE">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_Toc17430 </w:instrText>
      </w:r>
      <w:r>
        <w:rPr>
          <w:rFonts w:hint="eastAsia" w:ascii="宋体" w:hAnsi="宋体" w:eastAsia="宋体" w:cs="宋体"/>
          <w:szCs w:val="21"/>
        </w:rPr>
        <w:fldChar w:fldCharType="separate"/>
      </w:r>
      <w:r>
        <w:rPr>
          <w:rFonts w:hint="eastAsia" w:ascii="宋体" w:hAnsi="宋体" w:eastAsia="宋体" w:cs="宋体"/>
        </w:rPr>
        <w:t>六、定标</w:t>
      </w:r>
      <w:r>
        <w:tab/>
      </w:r>
      <w:r>
        <w:fldChar w:fldCharType="begin"/>
      </w:r>
      <w:r>
        <w:instrText xml:space="preserve"> PAGEREF _Toc17430 \h </w:instrText>
      </w:r>
      <w:r>
        <w:fldChar w:fldCharType="separate"/>
      </w:r>
      <w:r>
        <w:t>- 63 -</w:t>
      </w:r>
      <w:r>
        <w:fldChar w:fldCharType="end"/>
      </w:r>
      <w:r>
        <w:rPr>
          <w:rFonts w:hint="eastAsia" w:ascii="宋体" w:hAnsi="宋体" w:eastAsia="宋体" w:cs="宋体"/>
          <w:color w:val="auto"/>
          <w:szCs w:val="21"/>
        </w:rPr>
        <w:fldChar w:fldCharType="end"/>
      </w:r>
    </w:p>
    <w:p w14:paraId="59F835E6">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_Toc30026 </w:instrText>
      </w:r>
      <w:r>
        <w:rPr>
          <w:rFonts w:hint="eastAsia" w:ascii="宋体" w:hAnsi="宋体" w:eastAsia="宋体" w:cs="宋体"/>
          <w:szCs w:val="21"/>
        </w:rPr>
        <w:fldChar w:fldCharType="separate"/>
      </w:r>
      <w:r>
        <w:rPr>
          <w:rFonts w:hint="eastAsia" w:ascii="宋体" w:hAnsi="宋体" w:eastAsia="宋体" w:cs="宋体"/>
        </w:rPr>
        <w:t>七、中标</w:t>
      </w:r>
      <w:r>
        <w:tab/>
      </w:r>
      <w:r>
        <w:fldChar w:fldCharType="begin"/>
      </w:r>
      <w:r>
        <w:instrText xml:space="preserve"> PAGEREF _Toc30026 \h </w:instrText>
      </w:r>
      <w:r>
        <w:fldChar w:fldCharType="separate"/>
      </w:r>
      <w:r>
        <w:t>- 63 -</w:t>
      </w:r>
      <w:r>
        <w:fldChar w:fldCharType="end"/>
      </w:r>
      <w:r>
        <w:rPr>
          <w:rFonts w:hint="eastAsia" w:ascii="宋体" w:hAnsi="宋体" w:eastAsia="宋体" w:cs="宋体"/>
          <w:color w:val="auto"/>
          <w:szCs w:val="21"/>
        </w:rPr>
        <w:fldChar w:fldCharType="end"/>
      </w:r>
    </w:p>
    <w:p w14:paraId="05076468">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_Toc19477 </w:instrText>
      </w:r>
      <w:r>
        <w:rPr>
          <w:rFonts w:hint="eastAsia" w:ascii="宋体" w:hAnsi="宋体" w:eastAsia="宋体" w:cs="宋体"/>
          <w:szCs w:val="21"/>
        </w:rPr>
        <w:fldChar w:fldCharType="separate"/>
      </w:r>
      <w:r>
        <w:rPr>
          <w:rFonts w:hint="eastAsia" w:ascii="宋体" w:hAnsi="宋体" w:eastAsia="宋体" w:cs="宋体"/>
        </w:rPr>
        <w:t>八、询问、质疑和投诉</w:t>
      </w:r>
      <w:r>
        <w:tab/>
      </w:r>
      <w:r>
        <w:fldChar w:fldCharType="begin"/>
      </w:r>
      <w:r>
        <w:instrText xml:space="preserve"> PAGEREF _Toc19477 \h </w:instrText>
      </w:r>
      <w:r>
        <w:fldChar w:fldCharType="separate"/>
      </w:r>
      <w:r>
        <w:t>- 63 -</w:t>
      </w:r>
      <w:r>
        <w:fldChar w:fldCharType="end"/>
      </w:r>
      <w:r>
        <w:rPr>
          <w:rFonts w:hint="eastAsia" w:ascii="宋体" w:hAnsi="宋体" w:eastAsia="宋体" w:cs="宋体"/>
          <w:color w:val="auto"/>
          <w:szCs w:val="21"/>
        </w:rPr>
        <w:fldChar w:fldCharType="end"/>
      </w:r>
    </w:p>
    <w:p w14:paraId="1D011C4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_Toc27757 </w:instrText>
      </w:r>
      <w:r>
        <w:rPr>
          <w:rFonts w:hint="eastAsia" w:ascii="宋体" w:hAnsi="宋体" w:eastAsia="宋体" w:cs="宋体"/>
          <w:szCs w:val="21"/>
        </w:rPr>
        <w:fldChar w:fldCharType="separate"/>
      </w:r>
      <w:r>
        <w:rPr>
          <w:rFonts w:hint="eastAsia" w:ascii="宋体" w:hAnsi="宋体" w:eastAsia="宋体" w:cs="宋体"/>
        </w:rPr>
        <w:t>九、采购代理服务费</w:t>
      </w:r>
      <w:r>
        <w:tab/>
      </w:r>
      <w:r>
        <w:fldChar w:fldCharType="begin"/>
      </w:r>
      <w:r>
        <w:instrText xml:space="preserve"> PAGEREF _Toc27757 \h </w:instrText>
      </w:r>
      <w:r>
        <w:fldChar w:fldCharType="separate"/>
      </w:r>
      <w:r>
        <w:t>- 65 -</w:t>
      </w:r>
      <w:r>
        <w:fldChar w:fldCharType="end"/>
      </w:r>
      <w:r>
        <w:rPr>
          <w:rFonts w:hint="eastAsia" w:ascii="宋体" w:hAnsi="宋体" w:eastAsia="宋体" w:cs="宋体"/>
          <w:color w:val="auto"/>
          <w:szCs w:val="21"/>
        </w:rPr>
        <w:fldChar w:fldCharType="end"/>
      </w:r>
    </w:p>
    <w:p w14:paraId="3ABC77C4">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_Toc12654 </w:instrText>
      </w:r>
      <w:r>
        <w:rPr>
          <w:rFonts w:hint="eastAsia" w:ascii="宋体" w:hAnsi="宋体" w:eastAsia="宋体" w:cs="宋体"/>
          <w:szCs w:val="21"/>
        </w:rPr>
        <w:fldChar w:fldCharType="separate"/>
      </w:r>
      <w:r>
        <w:rPr>
          <w:rFonts w:hint="eastAsia" w:ascii="宋体" w:hAnsi="宋体" w:eastAsia="宋体" w:cs="宋体"/>
        </w:rPr>
        <w:t>十、交易服务费</w:t>
      </w:r>
      <w:r>
        <w:tab/>
      </w:r>
      <w:r>
        <w:fldChar w:fldCharType="begin"/>
      </w:r>
      <w:r>
        <w:instrText xml:space="preserve"> PAGEREF _Toc12654 \h </w:instrText>
      </w:r>
      <w:r>
        <w:fldChar w:fldCharType="separate"/>
      </w:r>
      <w:r>
        <w:t>- 65 -</w:t>
      </w:r>
      <w:r>
        <w:fldChar w:fldCharType="end"/>
      </w:r>
      <w:r>
        <w:rPr>
          <w:rFonts w:hint="eastAsia" w:ascii="宋体" w:hAnsi="宋体" w:eastAsia="宋体" w:cs="宋体"/>
          <w:color w:val="auto"/>
          <w:szCs w:val="21"/>
        </w:rPr>
        <w:fldChar w:fldCharType="end"/>
      </w:r>
    </w:p>
    <w:p w14:paraId="2847A649">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_Toc29629 </w:instrText>
      </w:r>
      <w:r>
        <w:rPr>
          <w:rFonts w:hint="eastAsia" w:ascii="宋体" w:hAnsi="宋体" w:eastAsia="宋体" w:cs="宋体"/>
          <w:szCs w:val="21"/>
        </w:rPr>
        <w:fldChar w:fldCharType="separate"/>
      </w:r>
      <w:r>
        <w:rPr>
          <w:rFonts w:hint="eastAsia" w:ascii="宋体" w:hAnsi="宋体" w:eastAsia="宋体" w:cs="宋体"/>
        </w:rPr>
        <w:t>十一、签订合同</w:t>
      </w:r>
      <w:r>
        <w:tab/>
      </w:r>
      <w:r>
        <w:fldChar w:fldCharType="begin"/>
      </w:r>
      <w:r>
        <w:instrText xml:space="preserve"> PAGEREF _Toc29629 \h </w:instrText>
      </w:r>
      <w:r>
        <w:fldChar w:fldCharType="separate"/>
      </w:r>
      <w:r>
        <w:t>- 66 -</w:t>
      </w:r>
      <w:r>
        <w:fldChar w:fldCharType="end"/>
      </w:r>
      <w:r>
        <w:rPr>
          <w:rFonts w:hint="eastAsia" w:ascii="宋体" w:hAnsi="宋体" w:eastAsia="宋体" w:cs="宋体"/>
          <w:color w:val="auto"/>
          <w:szCs w:val="21"/>
        </w:rPr>
        <w:fldChar w:fldCharType="end"/>
      </w:r>
    </w:p>
    <w:p w14:paraId="47C016B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_Toc11915 </w:instrText>
      </w:r>
      <w:r>
        <w:rPr>
          <w:rFonts w:hint="eastAsia" w:ascii="宋体" w:hAnsi="宋体" w:eastAsia="宋体" w:cs="宋体"/>
          <w:szCs w:val="21"/>
        </w:rPr>
        <w:fldChar w:fldCharType="separate"/>
      </w:r>
      <w:r>
        <w:rPr>
          <w:rFonts w:hint="eastAsia" w:ascii="宋体" w:hAnsi="宋体" w:eastAsia="宋体" w:cs="宋体"/>
        </w:rPr>
        <w:t>十二、项目验收</w:t>
      </w:r>
      <w:r>
        <w:tab/>
      </w:r>
      <w:r>
        <w:fldChar w:fldCharType="begin"/>
      </w:r>
      <w:r>
        <w:instrText xml:space="preserve"> PAGEREF _Toc11915 \h </w:instrText>
      </w:r>
      <w:r>
        <w:fldChar w:fldCharType="separate"/>
      </w:r>
      <w:r>
        <w:t>- 66 -</w:t>
      </w:r>
      <w:r>
        <w:fldChar w:fldCharType="end"/>
      </w:r>
      <w:r>
        <w:rPr>
          <w:rFonts w:hint="eastAsia" w:ascii="宋体" w:hAnsi="宋体" w:eastAsia="宋体" w:cs="宋体"/>
          <w:color w:val="auto"/>
          <w:szCs w:val="21"/>
        </w:rPr>
        <w:fldChar w:fldCharType="end"/>
      </w:r>
    </w:p>
    <w:p w14:paraId="61333C9F">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_Toc6111 </w:instrText>
      </w:r>
      <w:r>
        <w:rPr>
          <w:rFonts w:hint="eastAsia" w:ascii="宋体" w:hAnsi="宋体" w:eastAsia="宋体" w:cs="宋体"/>
          <w:szCs w:val="21"/>
        </w:rPr>
        <w:fldChar w:fldCharType="separate"/>
      </w:r>
      <w:r>
        <w:rPr>
          <w:rFonts w:hint="eastAsia" w:ascii="宋体" w:hAnsi="宋体" w:eastAsia="宋体" w:cs="宋体"/>
        </w:rPr>
        <w:t>十三、政府采购信用融资</w:t>
      </w:r>
      <w:r>
        <w:tab/>
      </w:r>
      <w:r>
        <w:fldChar w:fldCharType="begin"/>
      </w:r>
      <w:r>
        <w:instrText xml:space="preserve"> PAGEREF _Toc6111 \h </w:instrText>
      </w:r>
      <w:r>
        <w:fldChar w:fldCharType="separate"/>
      </w:r>
      <w:r>
        <w:t>- 66 -</w:t>
      </w:r>
      <w:r>
        <w:fldChar w:fldCharType="end"/>
      </w:r>
      <w:r>
        <w:rPr>
          <w:rFonts w:hint="eastAsia" w:ascii="宋体" w:hAnsi="宋体" w:eastAsia="宋体" w:cs="宋体"/>
          <w:color w:val="auto"/>
          <w:szCs w:val="21"/>
        </w:rPr>
        <w:fldChar w:fldCharType="end"/>
      </w:r>
    </w:p>
    <w:p w14:paraId="06F7DE41">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_Toc29143 </w:instrText>
      </w:r>
      <w:r>
        <w:rPr>
          <w:rFonts w:hint="eastAsia" w:ascii="宋体" w:hAnsi="宋体" w:eastAsia="宋体" w:cs="宋体"/>
          <w:szCs w:val="21"/>
        </w:rPr>
        <w:fldChar w:fldCharType="separate"/>
      </w:r>
      <w:r>
        <w:rPr>
          <w:rFonts w:hint="eastAsia" w:ascii="宋体" w:hAnsi="宋体" w:eastAsia="宋体" w:cs="宋体"/>
        </w:rPr>
        <w:t>第六篇  合同主要条款和格式合同（样本）</w:t>
      </w:r>
      <w:r>
        <w:tab/>
      </w:r>
      <w:r>
        <w:fldChar w:fldCharType="begin"/>
      </w:r>
      <w:r>
        <w:instrText xml:space="preserve"> PAGEREF _Toc29143 \h </w:instrText>
      </w:r>
      <w:r>
        <w:fldChar w:fldCharType="separate"/>
      </w:r>
      <w:r>
        <w:t>- 67 -</w:t>
      </w:r>
      <w:r>
        <w:fldChar w:fldCharType="end"/>
      </w:r>
      <w:r>
        <w:rPr>
          <w:rFonts w:hint="eastAsia" w:ascii="宋体" w:hAnsi="宋体" w:eastAsia="宋体" w:cs="宋体"/>
          <w:color w:val="auto"/>
          <w:szCs w:val="21"/>
        </w:rPr>
        <w:fldChar w:fldCharType="end"/>
      </w:r>
    </w:p>
    <w:p w14:paraId="54B09B1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_Toc14471 </w:instrText>
      </w:r>
      <w:r>
        <w:rPr>
          <w:rFonts w:hint="eastAsia" w:ascii="宋体" w:hAnsi="宋体" w:eastAsia="宋体" w:cs="宋体"/>
          <w:szCs w:val="21"/>
        </w:rPr>
        <w:fldChar w:fldCharType="separate"/>
      </w:r>
      <w:r>
        <w:rPr>
          <w:rFonts w:hint="eastAsia" w:ascii="宋体" w:hAnsi="宋体" w:eastAsia="宋体" w:cs="宋体"/>
        </w:rPr>
        <w:t>一、合同主要条款</w:t>
      </w:r>
      <w:r>
        <w:tab/>
      </w:r>
      <w:r>
        <w:fldChar w:fldCharType="begin"/>
      </w:r>
      <w:r>
        <w:instrText xml:space="preserve"> PAGEREF _Toc14471 \h </w:instrText>
      </w:r>
      <w:r>
        <w:fldChar w:fldCharType="separate"/>
      </w:r>
      <w:r>
        <w:t>- 67 -</w:t>
      </w:r>
      <w:r>
        <w:fldChar w:fldCharType="end"/>
      </w:r>
      <w:r>
        <w:rPr>
          <w:rFonts w:hint="eastAsia" w:ascii="宋体" w:hAnsi="宋体" w:eastAsia="宋体" w:cs="宋体"/>
          <w:color w:val="auto"/>
          <w:szCs w:val="21"/>
        </w:rPr>
        <w:fldChar w:fldCharType="end"/>
      </w:r>
    </w:p>
    <w:p w14:paraId="7C803331">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_Toc25439 </w:instrText>
      </w:r>
      <w:r>
        <w:rPr>
          <w:rFonts w:hint="eastAsia" w:ascii="宋体" w:hAnsi="宋体" w:eastAsia="宋体" w:cs="宋体"/>
          <w:szCs w:val="21"/>
        </w:rPr>
        <w:fldChar w:fldCharType="separate"/>
      </w:r>
      <w:r>
        <w:rPr>
          <w:rFonts w:hint="eastAsia" w:ascii="宋体" w:hAnsi="宋体" w:eastAsia="宋体" w:cs="宋体"/>
        </w:rPr>
        <w:t>二、政府采购合同（格式）</w:t>
      </w:r>
      <w:r>
        <w:tab/>
      </w:r>
      <w:r>
        <w:fldChar w:fldCharType="begin"/>
      </w:r>
      <w:r>
        <w:instrText xml:space="preserve"> PAGEREF _Toc25439 \h </w:instrText>
      </w:r>
      <w:r>
        <w:fldChar w:fldCharType="separate"/>
      </w:r>
      <w:r>
        <w:t>- 70 -</w:t>
      </w:r>
      <w:r>
        <w:fldChar w:fldCharType="end"/>
      </w:r>
      <w:r>
        <w:rPr>
          <w:rFonts w:hint="eastAsia" w:ascii="宋体" w:hAnsi="宋体" w:eastAsia="宋体" w:cs="宋体"/>
          <w:color w:val="auto"/>
          <w:szCs w:val="21"/>
        </w:rPr>
        <w:fldChar w:fldCharType="end"/>
      </w:r>
    </w:p>
    <w:p w14:paraId="7F52ADB1">
      <w:pPr>
        <w:pStyle w:val="39"/>
        <w:tabs>
          <w:tab w:val="right" w:leader="dot" w:pos="9412"/>
          <w:tab w:val="clear" w:pos="1260"/>
          <w:tab w:val="clear" w:pos="1685"/>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_Toc12300 </w:instrText>
      </w:r>
      <w:r>
        <w:rPr>
          <w:rFonts w:hint="eastAsia" w:ascii="宋体" w:hAnsi="宋体" w:eastAsia="宋体" w:cs="宋体"/>
          <w:szCs w:val="21"/>
        </w:rPr>
        <w:fldChar w:fldCharType="separate"/>
      </w:r>
      <w:r>
        <w:rPr>
          <w:rFonts w:hint="eastAsia" w:ascii="宋体" w:hAnsi="宋体" w:eastAsia="宋体" w:cs="宋体"/>
        </w:rPr>
        <w:t>第七篇  投标文件格式</w:t>
      </w:r>
      <w:r>
        <w:tab/>
      </w:r>
      <w:r>
        <w:fldChar w:fldCharType="begin"/>
      </w:r>
      <w:r>
        <w:instrText xml:space="preserve"> PAGEREF _Toc12300 \h </w:instrText>
      </w:r>
      <w:r>
        <w:fldChar w:fldCharType="separate"/>
      </w:r>
      <w:r>
        <w:t>- 72 -</w:t>
      </w:r>
      <w:r>
        <w:fldChar w:fldCharType="end"/>
      </w:r>
      <w:r>
        <w:rPr>
          <w:rFonts w:hint="eastAsia" w:ascii="宋体" w:hAnsi="宋体" w:eastAsia="宋体" w:cs="宋体"/>
          <w:color w:val="auto"/>
          <w:szCs w:val="21"/>
        </w:rPr>
        <w:fldChar w:fldCharType="end"/>
      </w:r>
    </w:p>
    <w:p w14:paraId="7AC69467">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_Toc17564 </w:instrText>
      </w:r>
      <w:r>
        <w:rPr>
          <w:rFonts w:hint="eastAsia" w:ascii="宋体" w:hAnsi="宋体" w:eastAsia="宋体" w:cs="宋体"/>
          <w:szCs w:val="21"/>
        </w:rPr>
        <w:fldChar w:fldCharType="separate"/>
      </w:r>
      <w:r>
        <w:rPr>
          <w:rFonts w:hint="eastAsia" w:ascii="宋体" w:hAnsi="宋体" w:eastAsia="宋体" w:cs="宋体"/>
          <w:szCs w:val="28"/>
        </w:rPr>
        <w:t>一、经济文件</w:t>
      </w:r>
      <w:r>
        <w:tab/>
      </w:r>
      <w:r>
        <w:fldChar w:fldCharType="begin"/>
      </w:r>
      <w:r>
        <w:instrText xml:space="preserve"> PAGEREF _Toc17564 \h </w:instrText>
      </w:r>
      <w:r>
        <w:fldChar w:fldCharType="separate"/>
      </w:r>
      <w:r>
        <w:t>- 73 -</w:t>
      </w:r>
      <w:r>
        <w:fldChar w:fldCharType="end"/>
      </w:r>
      <w:r>
        <w:rPr>
          <w:rFonts w:hint="eastAsia" w:ascii="宋体" w:hAnsi="宋体" w:eastAsia="宋体" w:cs="宋体"/>
          <w:color w:val="auto"/>
          <w:szCs w:val="21"/>
        </w:rPr>
        <w:fldChar w:fldCharType="end"/>
      </w:r>
    </w:p>
    <w:p w14:paraId="35126F0A">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_Toc12437 </w:instrText>
      </w:r>
      <w:r>
        <w:rPr>
          <w:rFonts w:hint="eastAsia" w:ascii="宋体" w:hAnsi="宋体" w:eastAsia="宋体" w:cs="宋体"/>
          <w:szCs w:val="21"/>
        </w:rPr>
        <w:fldChar w:fldCharType="separate"/>
      </w:r>
      <w:r>
        <w:rPr>
          <w:rFonts w:hint="eastAsia" w:ascii="宋体" w:hAnsi="宋体" w:eastAsia="宋体" w:cs="宋体"/>
          <w:szCs w:val="28"/>
        </w:rPr>
        <w:t>二、技术（质量）文件</w:t>
      </w:r>
      <w:r>
        <w:tab/>
      </w:r>
      <w:r>
        <w:fldChar w:fldCharType="begin"/>
      </w:r>
      <w:r>
        <w:instrText xml:space="preserve"> PAGEREF _Toc12437 \h </w:instrText>
      </w:r>
      <w:r>
        <w:fldChar w:fldCharType="separate"/>
      </w:r>
      <w:r>
        <w:t>- 75 -</w:t>
      </w:r>
      <w:r>
        <w:fldChar w:fldCharType="end"/>
      </w:r>
      <w:r>
        <w:rPr>
          <w:rFonts w:hint="eastAsia" w:ascii="宋体" w:hAnsi="宋体" w:eastAsia="宋体" w:cs="宋体"/>
          <w:color w:val="auto"/>
          <w:szCs w:val="21"/>
        </w:rPr>
        <w:fldChar w:fldCharType="end"/>
      </w:r>
    </w:p>
    <w:p w14:paraId="02775E9B">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_Toc19411 </w:instrText>
      </w:r>
      <w:r>
        <w:rPr>
          <w:rFonts w:hint="eastAsia" w:ascii="宋体" w:hAnsi="宋体" w:eastAsia="宋体" w:cs="宋体"/>
          <w:szCs w:val="21"/>
        </w:rPr>
        <w:fldChar w:fldCharType="separate"/>
      </w:r>
      <w:r>
        <w:rPr>
          <w:rFonts w:hint="eastAsia" w:ascii="宋体" w:hAnsi="宋体" w:eastAsia="宋体" w:cs="宋体"/>
          <w:szCs w:val="28"/>
        </w:rPr>
        <w:t>三、商务文件</w:t>
      </w:r>
      <w:r>
        <w:tab/>
      </w:r>
      <w:r>
        <w:fldChar w:fldCharType="begin"/>
      </w:r>
      <w:r>
        <w:instrText xml:space="preserve"> PAGEREF _Toc19411 \h </w:instrText>
      </w:r>
      <w:r>
        <w:fldChar w:fldCharType="separate"/>
      </w:r>
      <w:r>
        <w:t>- 78 -</w:t>
      </w:r>
      <w:r>
        <w:fldChar w:fldCharType="end"/>
      </w:r>
      <w:r>
        <w:rPr>
          <w:rFonts w:hint="eastAsia" w:ascii="宋体" w:hAnsi="宋体" w:eastAsia="宋体" w:cs="宋体"/>
          <w:color w:val="auto"/>
          <w:szCs w:val="21"/>
        </w:rPr>
        <w:fldChar w:fldCharType="end"/>
      </w:r>
    </w:p>
    <w:p w14:paraId="2B57505F">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_Toc8495 </w:instrText>
      </w:r>
      <w:r>
        <w:rPr>
          <w:rFonts w:hint="eastAsia" w:ascii="宋体" w:hAnsi="宋体" w:eastAsia="宋体" w:cs="宋体"/>
          <w:szCs w:val="21"/>
        </w:rPr>
        <w:fldChar w:fldCharType="separate"/>
      </w:r>
      <w:r>
        <w:rPr>
          <w:rFonts w:hint="eastAsia" w:ascii="宋体" w:hAnsi="宋体" w:eastAsia="宋体" w:cs="宋体"/>
          <w:szCs w:val="28"/>
        </w:rPr>
        <w:t>四、其他</w:t>
      </w:r>
      <w:r>
        <w:tab/>
      </w:r>
      <w:r>
        <w:fldChar w:fldCharType="begin"/>
      </w:r>
      <w:r>
        <w:instrText xml:space="preserve"> PAGEREF _Toc8495 \h </w:instrText>
      </w:r>
      <w:r>
        <w:fldChar w:fldCharType="separate"/>
      </w:r>
      <w:r>
        <w:t>- 81 -</w:t>
      </w:r>
      <w:r>
        <w:fldChar w:fldCharType="end"/>
      </w:r>
      <w:r>
        <w:rPr>
          <w:rFonts w:hint="eastAsia" w:ascii="宋体" w:hAnsi="宋体" w:eastAsia="宋体" w:cs="宋体"/>
          <w:color w:val="auto"/>
          <w:szCs w:val="21"/>
        </w:rPr>
        <w:fldChar w:fldCharType="end"/>
      </w:r>
    </w:p>
    <w:p w14:paraId="1A198DDE">
      <w:pPr>
        <w:pStyle w:val="47"/>
        <w:tabs>
          <w:tab w:val="right" w:leader="dot" w:pos="9412"/>
          <w:tab w:val="clear" w:pos="8400"/>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_Toc355 </w:instrText>
      </w:r>
      <w:r>
        <w:rPr>
          <w:rFonts w:hint="eastAsia" w:ascii="宋体" w:hAnsi="宋体" w:eastAsia="宋体" w:cs="宋体"/>
          <w:szCs w:val="21"/>
        </w:rPr>
        <w:fldChar w:fldCharType="separate"/>
      </w:r>
      <w:r>
        <w:rPr>
          <w:rFonts w:hint="eastAsia" w:ascii="宋体" w:hAnsi="宋体" w:eastAsia="宋体" w:cs="宋体"/>
          <w:szCs w:val="28"/>
        </w:rPr>
        <w:t>五、资格文件</w:t>
      </w:r>
      <w:r>
        <w:tab/>
      </w:r>
      <w:r>
        <w:fldChar w:fldCharType="begin"/>
      </w:r>
      <w:r>
        <w:instrText xml:space="preserve"> PAGEREF _Toc355 \h </w:instrText>
      </w:r>
      <w:r>
        <w:fldChar w:fldCharType="separate"/>
      </w:r>
      <w:r>
        <w:t>- 88 -</w:t>
      </w:r>
      <w:r>
        <w:fldChar w:fldCharType="end"/>
      </w:r>
      <w:r>
        <w:rPr>
          <w:rFonts w:hint="eastAsia" w:ascii="宋体" w:hAnsi="宋体" w:eastAsia="宋体" w:cs="宋体"/>
          <w:color w:val="auto"/>
          <w:szCs w:val="21"/>
        </w:rPr>
        <w:fldChar w:fldCharType="end"/>
      </w:r>
    </w:p>
    <w:p w14:paraId="6DFA4EFA">
      <w:pPr>
        <w:pStyle w:val="39"/>
        <w:ind w:firstLine="0" w:firstLineChars="0"/>
        <w:rPr>
          <w:rFonts w:hint="eastAsia" w:ascii="宋体" w:hAnsi="宋体" w:eastAsia="宋体" w:cs="宋体"/>
          <w:color w:val="auto"/>
          <w:sz w:val="32"/>
        </w:rPr>
        <w:sectPr>
          <w:pgSz w:w="11907" w:h="16840"/>
          <w:pgMar w:top="1134" w:right="1191" w:bottom="1134" w:left="1304" w:header="964" w:footer="992" w:gutter="0"/>
          <w:pgNumType w:fmt="numberInDash" w:start="1"/>
          <w:cols w:space="720" w:num="1"/>
          <w:docGrid w:linePitch="312" w:charSpace="0"/>
        </w:sectPr>
      </w:pPr>
      <w:r>
        <w:rPr>
          <w:rFonts w:hint="eastAsia" w:ascii="宋体" w:hAnsi="宋体" w:eastAsia="宋体" w:cs="宋体"/>
          <w:color w:val="auto"/>
          <w:szCs w:val="21"/>
        </w:rPr>
        <w:fldChar w:fldCharType="end"/>
      </w:r>
    </w:p>
    <w:p w14:paraId="1D2786F1">
      <w:pPr>
        <w:pStyle w:val="2"/>
        <w:spacing w:before="0" w:after="0" w:line="360" w:lineRule="auto"/>
        <w:rPr>
          <w:rFonts w:hint="eastAsia" w:ascii="宋体" w:hAnsi="宋体" w:eastAsia="宋体" w:cs="宋体"/>
          <w:b/>
          <w:color w:val="auto"/>
        </w:rPr>
      </w:pPr>
      <w:bookmarkStart w:id="0" w:name="_Toc19468"/>
      <w:bookmarkStart w:id="1" w:name="_Toc31300"/>
      <w:bookmarkStart w:id="2" w:name="_Toc25832"/>
      <w:bookmarkStart w:id="3" w:name="_Toc14366"/>
      <w:bookmarkStart w:id="4" w:name="_Toc5284"/>
      <w:bookmarkStart w:id="5" w:name="_Toc4502"/>
      <w:bookmarkStart w:id="6" w:name="_Toc5896"/>
      <w:bookmarkStart w:id="7" w:name="_Toc21468"/>
      <w:bookmarkStart w:id="8" w:name="_Toc21693"/>
      <w:bookmarkStart w:id="9" w:name="_Toc25020"/>
      <w:bookmarkStart w:id="10" w:name="_Toc16178"/>
      <w:bookmarkStart w:id="11" w:name="_Toc2977"/>
      <w:bookmarkStart w:id="12" w:name="_Toc6967"/>
      <w:bookmarkStart w:id="13" w:name="_Toc1386"/>
      <w:bookmarkStart w:id="14" w:name="_Toc75793495"/>
      <w:bookmarkStart w:id="15" w:name="_Toc21631"/>
      <w:bookmarkStart w:id="16" w:name="_Toc30352"/>
      <w:r>
        <w:rPr>
          <w:rFonts w:hint="eastAsia" w:ascii="宋体" w:hAnsi="宋体" w:eastAsia="宋体" w:cs="宋体"/>
          <w:b/>
          <w:color w:val="auto"/>
        </w:rPr>
        <w:t>第一篇 投标邀请书</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24C97551">
      <w:pPr>
        <w:spacing w:line="336" w:lineRule="auto"/>
        <w:ind w:firstLine="480" w:firstLineChars="200"/>
        <w:rPr>
          <w:rFonts w:hint="eastAsia" w:ascii="宋体" w:hAnsi="宋体" w:eastAsia="宋体" w:cs="宋体"/>
          <w:color w:val="auto"/>
          <w:sz w:val="24"/>
          <w:szCs w:val="24"/>
        </w:rPr>
      </w:pPr>
      <w:bookmarkStart w:id="17" w:name="OLE_LINK3"/>
      <w:r>
        <w:rPr>
          <w:rFonts w:hint="eastAsia" w:ascii="宋体" w:hAnsi="宋体" w:eastAsia="宋体" w:cs="宋体"/>
          <w:color w:val="auto"/>
          <w:sz w:val="24"/>
          <w:szCs w:val="24"/>
        </w:rPr>
        <w:t>四川国际招标有限责任公司（以下简称：采购代理机构）受重庆化工职业学院（以下简称：采购人）的委托，对</w:t>
      </w:r>
      <w:r>
        <w:rPr>
          <w:rFonts w:hint="eastAsia" w:ascii="宋体" w:hAnsi="宋体" w:eastAsia="宋体" w:cs="宋体"/>
          <w:color w:val="auto"/>
          <w:sz w:val="24"/>
          <w:szCs w:val="24"/>
          <w:lang w:eastAsia="zh-CN"/>
        </w:rPr>
        <w:t>化工安全技能实训基地（</w:t>
      </w:r>
      <w:r>
        <w:rPr>
          <w:rFonts w:hint="eastAsia" w:ascii="宋体" w:hAnsi="宋体" w:eastAsia="宋体" w:cs="宋体"/>
          <w:color w:val="auto"/>
          <w:sz w:val="24"/>
          <w:szCs w:val="24"/>
          <w:lang w:val="en-US" w:eastAsia="zh-CN"/>
        </w:rPr>
        <w:t xml:space="preserve">项目号：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进行公开招标，欢迎有资格的投标人参加投标。</w:t>
      </w:r>
    </w:p>
    <w:p w14:paraId="0350C458">
      <w:pPr>
        <w:pStyle w:val="3"/>
        <w:spacing w:line="400" w:lineRule="exact"/>
        <w:ind w:firstLine="482" w:firstLineChars="200"/>
        <w:rPr>
          <w:rFonts w:hint="eastAsia" w:ascii="宋体" w:hAnsi="宋体" w:eastAsia="宋体" w:cs="宋体"/>
          <w:b/>
          <w:color w:val="auto"/>
          <w:sz w:val="24"/>
        </w:rPr>
      </w:pPr>
      <w:bookmarkStart w:id="18" w:name="_Toc9233"/>
      <w:bookmarkStart w:id="19" w:name="_Toc2289"/>
      <w:bookmarkStart w:id="20" w:name="_Toc19082"/>
      <w:bookmarkStart w:id="21" w:name="_Toc19219"/>
      <w:bookmarkStart w:id="22" w:name="_Toc9774"/>
      <w:bookmarkStart w:id="23" w:name="_Toc8806"/>
      <w:bookmarkStart w:id="24" w:name="_Toc16810"/>
      <w:bookmarkStart w:id="25" w:name="_Toc25391"/>
      <w:bookmarkStart w:id="26" w:name="_Toc11858"/>
      <w:bookmarkStart w:id="27" w:name="_Toc27035"/>
      <w:bookmarkStart w:id="28" w:name="_Toc2284"/>
      <w:bookmarkStart w:id="29" w:name="_Toc19648"/>
      <w:bookmarkStart w:id="30" w:name="_Toc75793496"/>
      <w:bookmarkStart w:id="31" w:name="_Toc10092"/>
      <w:bookmarkStart w:id="32" w:name="_Toc14081"/>
      <w:bookmarkStart w:id="33" w:name="_Toc398"/>
      <w:bookmarkStart w:id="34" w:name="_Toc7217"/>
      <w:r>
        <w:rPr>
          <w:rFonts w:hint="eastAsia" w:ascii="宋体" w:hAnsi="宋体" w:eastAsia="宋体" w:cs="宋体"/>
          <w:b/>
          <w:color w:val="auto"/>
          <w:sz w:val="24"/>
        </w:rPr>
        <w:t>一、招标项目内容</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tbl>
      <w:tblPr>
        <w:tblStyle w:val="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8"/>
        <w:gridCol w:w="1411"/>
        <w:gridCol w:w="2212"/>
        <w:gridCol w:w="1521"/>
        <w:gridCol w:w="1810"/>
      </w:tblGrid>
      <w:tr w14:paraId="7B5F7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86" w:type="pct"/>
            <w:vAlign w:val="center"/>
          </w:tcPr>
          <w:p w14:paraId="4D5B2807">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项目</w:t>
            </w:r>
            <w:r>
              <w:rPr>
                <w:rFonts w:hint="eastAsia" w:ascii="宋体" w:hAnsi="宋体" w:eastAsia="宋体" w:cs="宋体"/>
                <w:b/>
                <w:color w:val="auto"/>
                <w:sz w:val="21"/>
                <w:szCs w:val="21"/>
              </w:rPr>
              <w:t>名称</w:t>
            </w:r>
          </w:p>
        </w:tc>
        <w:tc>
          <w:tcPr>
            <w:tcW w:w="733" w:type="pct"/>
            <w:vAlign w:val="center"/>
          </w:tcPr>
          <w:p w14:paraId="2C1F54C7">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最高限价</w:t>
            </w:r>
          </w:p>
          <w:p w14:paraId="6C55884F">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（万元）</w:t>
            </w:r>
          </w:p>
        </w:tc>
        <w:tc>
          <w:tcPr>
            <w:tcW w:w="1149" w:type="pct"/>
            <w:vAlign w:val="center"/>
          </w:tcPr>
          <w:p w14:paraId="2B40B9A9">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投标保证金</w:t>
            </w:r>
          </w:p>
          <w:p w14:paraId="6834FDB8">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（万元）</w:t>
            </w:r>
          </w:p>
        </w:tc>
        <w:tc>
          <w:tcPr>
            <w:tcW w:w="790" w:type="pct"/>
            <w:vAlign w:val="center"/>
          </w:tcPr>
          <w:p w14:paraId="182EE1CB">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rPr>
              <w:t>中标人数量（名）</w:t>
            </w:r>
          </w:p>
        </w:tc>
        <w:tc>
          <w:tcPr>
            <w:tcW w:w="940" w:type="pct"/>
            <w:vAlign w:val="center"/>
          </w:tcPr>
          <w:p w14:paraId="256BBE95">
            <w:pPr>
              <w:pStyle w:val="23"/>
              <w:spacing w:line="240" w:lineRule="auto"/>
              <w:ind w:left="0"/>
              <w:jc w:val="center"/>
              <w:outlineLvl w:val="0"/>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采购标的对应的中小企业划分标准所属行业</w:t>
            </w:r>
          </w:p>
        </w:tc>
      </w:tr>
      <w:tr w14:paraId="3B9B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386" w:type="pct"/>
            <w:vAlign w:val="center"/>
          </w:tcPr>
          <w:p w14:paraId="054E58EA">
            <w:pPr>
              <w:pStyle w:val="15"/>
              <w:spacing w:line="240" w:lineRule="auto"/>
              <w:ind w:firstLine="0"/>
              <w:jc w:val="center"/>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化工安全技能实训基地   </w:t>
            </w:r>
          </w:p>
        </w:tc>
        <w:tc>
          <w:tcPr>
            <w:tcW w:w="733" w:type="pct"/>
            <w:vAlign w:val="center"/>
          </w:tcPr>
          <w:p w14:paraId="030CFB37">
            <w:pPr>
              <w:pStyle w:val="15"/>
              <w:spacing w:line="240" w:lineRule="auto"/>
              <w:ind w:firstLine="0"/>
              <w:jc w:val="center"/>
              <w:outlineLvl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343</w:t>
            </w:r>
          </w:p>
        </w:tc>
        <w:tc>
          <w:tcPr>
            <w:tcW w:w="1149" w:type="pct"/>
            <w:vAlign w:val="center"/>
          </w:tcPr>
          <w:p w14:paraId="7C8EE7D4">
            <w:pPr>
              <w:pStyle w:val="15"/>
              <w:spacing w:line="240" w:lineRule="auto"/>
              <w:ind w:firstLine="0"/>
              <w:jc w:val="center"/>
              <w:outlineLvl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6.86</w:t>
            </w:r>
          </w:p>
        </w:tc>
        <w:tc>
          <w:tcPr>
            <w:tcW w:w="790" w:type="pct"/>
            <w:vAlign w:val="center"/>
          </w:tcPr>
          <w:p w14:paraId="52C1B1B0">
            <w:pPr>
              <w:pStyle w:val="15"/>
              <w:spacing w:line="240" w:lineRule="auto"/>
              <w:ind w:firstLine="0"/>
              <w:jc w:val="center"/>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940" w:type="pct"/>
            <w:vAlign w:val="center"/>
          </w:tcPr>
          <w:p w14:paraId="72D59156">
            <w:pPr>
              <w:pStyle w:val="15"/>
              <w:spacing w:line="240" w:lineRule="auto"/>
              <w:ind w:firstLine="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val="0"/>
                <w:color w:val="auto"/>
                <w:kern w:val="2"/>
                <w:sz w:val="21"/>
                <w:szCs w:val="21"/>
                <w:lang w:val="en-US" w:eastAsia="zh-CN" w:bidi="ar-SA"/>
              </w:rPr>
              <w:t>工业</w:t>
            </w:r>
          </w:p>
        </w:tc>
      </w:tr>
    </w:tbl>
    <w:p w14:paraId="445523B3">
      <w:pPr>
        <w:pStyle w:val="3"/>
        <w:spacing w:line="400" w:lineRule="exact"/>
        <w:ind w:firstLine="482" w:firstLineChars="200"/>
        <w:rPr>
          <w:rFonts w:hint="eastAsia" w:ascii="宋体" w:hAnsi="宋体" w:eastAsia="宋体" w:cs="宋体"/>
          <w:b/>
          <w:color w:val="auto"/>
          <w:sz w:val="24"/>
        </w:rPr>
      </w:pPr>
      <w:bookmarkStart w:id="35" w:name="_Toc15272"/>
      <w:bookmarkStart w:id="36" w:name="_Toc75793497"/>
      <w:bookmarkStart w:id="37" w:name="_Toc26540"/>
      <w:bookmarkStart w:id="38" w:name="_Toc12298"/>
      <w:bookmarkStart w:id="39" w:name="_Toc15664"/>
      <w:bookmarkStart w:id="40" w:name="_Toc31390"/>
      <w:bookmarkStart w:id="41" w:name="_Toc22549"/>
      <w:bookmarkStart w:id="42" w:name="_Toc22327"/>
      <w:bookmarkStart w:id="43" w:name="_Toc856"/>
      <w:bookmarkStart w:id="44" w:name="_Toc6463"/>
      <w:bookmarkStart w:id="45" w:name="_Toc26507"/>
      <w:bookmarkStart w:id="46" w:name="_Toc29240"/>
      <w:bookmarkStart w:id="47" w:name="_Toc31180"/>
      <w:bookmarkStart w:id="48" w:name="_Toc26284"/>
      <w:bookmarkStart w:id="49" w:name="_Toc7121"/>
      <w:bookmarkStart w:id="50" w:name="_Toc9736"/>
      <w:bookmarkStart w:id="51" w:name="_Toc19075"/>
      <w:r>
        <w:rPr>
          <w:rFonts w:hint="eastAsia" w:ascii="宋体" w:hAnsi="宋体" w:eastAsia="宋体" w:cs="宋体"/>
          <w:b/>
          <w:color w:val="auto"/>
          <w:sz w:val="24"/>
        </w:rPr>
        <w:t>二、资金来源</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50769E9C">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财政预算资金，预算金额为</w:t>
      </w:r>
      <w:r>
        <w:rPr>
          <w:rFonts w:hint="eastAsia" w:ascii="宋体" w:hAnsi="宋体" w:cs="宋体"/>
          <w:color w:val="auto"/>
          <w:sz w:val="24"/>
          <w:szCs w:val="24"/>
          <w:lang w:val="en-US" w:eastAsia="zh-CN"/>
        </w:rPr>
        <w:t>343</w:t>
      </w:r>
      <w:r>
        <w:rPr>
          <w:rFonts w:hint="eastAsia" w:ascii="宋体" w:hAnsi="宋体" w:eastAsia="宋体" w:cs="宋体"/>
          <w:color w:val="auto"/>
          <w:sz w:val="24"/>
          <w:szCs w:val="24"/>
        </w:rPr>
        <w:t>万元。</w:t>
      </w:r>
    </w:p>
    <w:p w14:paraId="73D7B719">
      <w:pPr>
        <w:pStyle w:val="3"/>
        <w:spacing w:line="400" w:lineRule="exact"/>
        <w:ind w:firstLine="482" w:firstLineChars="200"/>
        <w:rPr>
          <w:rFonts w:hint="eastAsia" w:ascii="宋体" w:hAnsi="宋体" w:eastAsia="宋体" w:cs="宋体"/>
          <w:b/>
          <w:color w:val="auto"/>
          <w:sz w:val="24"/>
          <w:highlight w:val="none"/>
        </w:rPr>
      </w:pPr>
      <w:bookmarkStart w:id="52" w:name="_Toc2256"/>
      <w:bookmarkStart w:id="53" w:name="_Toc23472"/>
      <w:bookmarkStart w:id="54" w:name="_Toc21668"/>
      <w:bookmarkStart w:id="55" w:name="_Toc11835"/>
      <w:bookmarkStart w:id="56" w:name="_Toc17086"/>
      <w:bookmarkStart w:id="57" w:name="_Toc12813"/>
      <w:bookmarkStart w:id="58" w:name="_Toc29468"/>
      <w:bookmarkStart w:id="59" w:name="_Toc20925"/>
      <w:bookmarkStart w:id="60" w:name="_Toc28070"/>
      <w:bookmarkStart w:id="61" w:name="_Toc4504"/>
      <w:bookmarkStart w:id="62" w:name="_Toc75793498"/>
      <w:bookmarkStart w:id="63" w:name="_Toc21210"/>
      <w:bookmarkStart w:id="64" w:name="_Toc4356"/>
      <w:bookmarkStart w:id="65" w:name="_Toc20698"/>
      <w:bookmarkStart w:id="66" w:name="_Toc682"/>
      <w:bookmarkStart w:id="67" w:name="_Toc7983"/>
      <w:bookmarkStart w:id="68" w:name="_Toc3424"/>
      <w:r>
        <w:rPr>
          <w:rFonts w:hint="eastAsia" w:ascii="宋体" w:hAnsi="宋体" w:eastAsia="宋体" w:cs="宋体"/>
          <w:b/>
          <w:color w:val="auto"/>
          <w:sz w:val="24"/>
          <w:highlight w:val="none"/>
        </w:rPr>
        <w:t>三、投标人资格要求</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39AE80C4">
      <w:pPr>
        <w:spacing w:line="400" w:lineRule="exact"/>
        <w:ind w:firstLine="480" w:firstLineChars="200"/>
        <w:rPr>
          <w:rFonts w:hint="eastAsia" w:ascii="宋体" w:hAnsi="宋体" w:eastAsia="宋体" w:cs="宋体"/>
          <w:color w:val="auto"/>
          <w:sz w:val="24"/>
          <w:szCs w:val="24"/>
        </w:rPr>
      </w:pPr>
      <w:bookmarkStart w:id="69" w:name="_Toc5414"/>
      <w:bookmarkStart w:id="70" w:name="_Toc75793499"/>
      <w:bookmarkStart w:id="71" w:name="_Toc27732"/>
      <w:bookmarkStart w:id="72" w:name="_Toc28188"/>
      <w:bookmarkStart w:id="73" w:name="_Toc22464"/>
      <w:bookmarkStart w:id="74" w:name="_Toc8255"/>
      <w:bookmarkStart w:id="75" w:name="_Toc1132"/>
      <w:bookmarkStart w:id="76" w:name="_Toc13076"/>
      <w:bookmarkStart w:id="77" w:name="_Toc15980"/>
      <w:bookmarkStart w:id="78" w:name="_Toc12922"/>
      <w:bookmarkStart w:id="79" w:name="_Toc24618"/>
      <w:bookmarkStart w:id="80" w:name="_Toc9335"/>
      <w:bookmarkStart w:id="81" w:name="_Toc11987"/>
      <w:bookmarkStart w:id="82" w:name="_Toc11276"/>
      <w:bookmarkStart w:id="83" w:name="_Toc27442"/>
      <w:bookmarkStart w:id="84" w:name="_Toc12680"/>
      <w:r>
        <w:rPr>
          <w:rFonts w:hint="eastAsia" w:ascii="宋体" w:hAnsi="宋体" w:eastAsia="宋体" w:cs="宋体"/>
          <w:color w:val="auto"/>
          <w:sz w:val="24"/>
          <w:szCs w:val="24"/>
        </w:rPr>
        <w:t>（一）满足《中华人民共和国政府采购法》第二十二条规定；</w:t>
      </w:r>
    </w:p>
    <w:p w14:paraId="19F6234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（二）落实政府采购政策需满足的资格要求：本项目预留采购项目预算总额的100%专门面向中小企业采购,其中预留给小微企业的比例不低于60%。</w:t>
      </w:r>
    </w:p>
    <w:p w14:paraId="762DA09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1.投标人所投的货物制造商若全部为小微企业的，投标人应提供其货物制造商的“中小企业声明函”或“监狱企业证明文件”或“残疾人福利性单位声明函”；</w:t>
      </w:r>
    </w:p>
    <w:p w14:paraId="7E746803">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投标人所投的货物制造商非全部为小微企业的，投标人应以签订分包意向协议的形式，将其合同总份额的100%上分包给中小企业制造商，该分包意向协议合同份额的60%及以上应当分包给小微企业制造商，投标人提供的分包意向协议中应明确投标产品名称、制造商名称、制造商中小微型企业等级、合同份额、合同份额所占合同总金额的比例，分包意向协议须加盖投标人公章。投标人应提供承担所分包份额的中小企业制造商的“中小企业声明函”或“监狱企业证明文件”或“残疾人福利性单位声明函”。投标人未提供分包意向协议的，不享受中小企业扶持政策，且资格审查不通过。</w:t>
      </w:r>
    </w:p>
    <w:p w14:paraId="7EB78DC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投标人若为小微企业且为合同总份额100%所投产品的制造商，应提供其承担合同份额的承诺函（加盖投标人公章，格式自定）和其货物制造商的“中小企业声明函”或“监狱企业证明文件”或“残疾人福利性单位声明函”，无需提供分包意向协议。</w:t>
      </w:r>
    </w:p>
    <w:p w14:paraId="723AB8D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w:t>
      </w:r>
    </w:p>
    <w:p w14:paraId="376A82D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1.“中小企业声明函”应由投标人提供并加盖投标人公章，声明函格式详见本招标文件第七篇“中小企业声明函”；</w:t>
      </w:r>
    </w:p>
    <w:p w14:paraId="50D2088C">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2.“监狱企业证明文件”应当由投标人提供所投产品制造商属于监狱企业的证明文件，该证明文件由省级以上监狱管理局、戒毒管理局（含新疆生产建设兵团）出具；</w:t>
      </w:r>
    </w:p>
    <w:p w14:paraId="672D86A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3.“残疾人福利性单位声明函”应由投标人提供所投产品制造商出具的“残疾人福利性单位声明函”，并加盖该残疾人福利性单位公章。</w:t>
      </w:r>
    </w:p>
    <w:p w14:paraId="2D99015D">
      <w:pPr>
        <w:spacing w:line="33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（三）本项目的特定资格要求：</w:t>
      </w:r>
      <w:r>
        <w:rPr>
          <w:rFonts w:hint="eastAsia" w:ascii="宋体" w:hAnsi="宋体" w:eastAsia="宋体" w:cs="宋体"/>
          <w:color w:val="auto"/>
          <w:sz w:val="24"/>
          <w:szCs w:val="24"/>
          <w:lang w:val="en-US" w:eastAsia="zh-CN"/>
        </w:rPr>
        <w:t>无</w:t>
      </w:r>
      <w:r>
        <w:rPr>
          <w:rFonts w:hint="eastAsia" w:ascii="宋体" w:hAnsi="宋体" w:eastAsia="宋体" w:cs="宋体"/>
          <w:color w:val="auto"/>
          <w:sz w:val="24"/>
          <w:szCs w:val="24"/>
          <w:lang w:eastAsia="zh-CN"/>
        </w:rPr>
        <w:t>。</w:t>
      </w:r>
    </w:p>
    <w:p w14:paraId="1F1BCB81">
      <w:pPr>
        <w:pStyle w:val="3"/>
        <w:spacing w:line="400" w:lineRule="exact"/>
        <w:ind w:firstLine="482" w:firstLineChars="200"/>
        <w:rPr>
          <w:rFonts w:hint="eastAsia" w:ascii="宋体" w:hAnsi="宋体" w:eastAsia="宋体" w:cs="宋体"/>
          <w:b/>
          <w:color w:val="auto"/>
          <w:sz w:val="24"/>
        </w:rPr>
      </w:pPr>
      <w:bookmarkStart w:id="85" w:name="_Toc6397"/>
      <w:r>
        <w:rPr>
          <w:rFonts w:hint="eastAsia" w:ascii="宋体" w:hAnsi="宋体" w:eastAsia="宋体" w:cs="宋体"/>
          <w:b/>
          <w:color w:val="auto"/>
          <w:sz w:val="24"/>
        </w:rPr>
        <w:t>四、投标、开标有关说明</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416CA658">
      <w:pPr>
        <w:spacing w:line="400" w:lineRule="exact"/>
        <w:ind w:firstLine="480" w:firstLineChars="200"/>
        <w:rPr>
          <w:rFonts w:hint="eastAsia" w:ascii="宋体" w:hAnsi="宋体" w:eastAsia="宋体" w:cs="宋体"/>
          <w:color w:val="auto"/>
          <w:sz w:val="24"/>
          <w:szCs w:val="24"/>
        </w:rPr>
      </w:pPr>
      <w:bookmarkStart w:id="86" w:name="OLE_LINK5"/>
      <w:r>
        <w:rPr>
          <w:rFonts w:hint="eastAsia" w:ascii="宋体" w:hAnsi="宋体" w:eastAsia="宋体" w:cs="宋体"/>
          <w:color w:val="auto"/>
          <w:sz w:val="24"/>
          <w:szCs w:val="24"/>
        </w:rPr>
        <w:t>（一）投标人应通过重庆市政府采购网（www.ccgp-chongqing.gov.cn）登记加入“重庆市政府采购供应商库”。</w:t>
      </w:r>
    </w:p>
    <w:p w14:paraId="242176D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凡有意参加投标的投标人，请到采购代理机构领取或在“重庆市政府采购网”网上下载本项目招标文件以及图纸、澄清等开标前公布的所有项目资料，无论投标人领取或下载与否，均视为已知晓所有招标内容。</w:t>
      </w:r>
    </w:p>
    <w:p w14:paraId="079928A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（三）招标文件公告期限：自采购公告发布之日起五个工作日。</w:t>
      </w:r>
    </w:p>
    <w:p w14:paraId="1F52945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（四）招标文件提供期限</w:t>
      </w:r>
    </w:p>
    <w:p w14:paraId="2E18B26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1.招标文件提供期限：</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日至</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17</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17:00时</w:t>
      </w:r>
      <w:r>
        <w:rPr>
          <w:rFonts w:hint="eastAsia" w:ascii="宋体" w:hAnsi="宋体" w:eastAsia="宋体" w:cs="宋体"/>
          <w:color w:val="auto"/>
          <w:sz w:val="24"/>
          <w:szCs w:val="24"/>
        </w:rPr>
        <w:t>。</w:t>
      </w:r>
    </w:p>
    <w:p w14:paraId="5F7ABA75">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2.招标文件提供期限</w:t>
      </w:r>
    </w:p>
    <w:p w14:paraId="389D50EB">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w:t>
      </w:r>
      <w:r>
        <w:rPr>
          <w:rFonts w:hint="eastAsia" w:ascii="宋体" w:hAnsi="宋体" w:eastAsia="宋体" w:cs="宋体"/>
          <w:color w:val="auto"/>
          <w:sz w:val="24"/>
          <w:szCs w:val="24"/>
          <w:highlight w:val="none"/>
          <w:lang w:eastAsia="zh-CN"/>
        </w:rPr>
        <w:t>获取</w:t>
      </w:r>
      <w:r>
        <w:rPr>
          <w:rFonts w:hint="eastAsia" w:ascii="宋体" w:hAnsi="宋体" w:eastAsia="宋体" w:cs="宋体"/>
          <w:color w:val="auto"/>
          <w:sz w:val="24"/>
          <w:szCs w:val="24"/>
          <w:highlight w:val="none"/>
        </w:rPr>
        <w:t>及购买招标文件</w:t>
      </w:r>
    </w:p>
    <w:p w14:paraId="339C5321">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获取</w:t>
      </w:r>
      <w:r>
        <w:rPr>
          <w:rFonts w:hint="eastAsia" w:ascii="宋体" w:hAnsi="宋体" w:eastAsia="宋体" w:cs="宋体"/>
          <w:color w:val="auto"/>
          <w:sz w:val="24"/>
          <w:szCs w:val="24"/>
          <w:highlight w:val="none"/>
        </w:rPr>
        <w:t>及招标文件发售期内，投标人到采购代理机构</w:t>
      </w:r>
      <w:r>
        <w:rPr>
          <w:rFonts w:hint="eastAsia" w:ascii="宋体" w:hAnsi="宋体" w:cs="宋体"/>
          <w:color w:val="auto"/>
          <w:sz w:val="24"/>
          <w:szCs w:val="24"/>
          <w:highlight w:val="none"/>
          <w:lang w:eastAsia="zh-CN"/>
        </w:rPr>
        <w:t>重庆市渝北区星光大道90号土星A2座2409</w:t>
      </w:r>
      <w:r>
        <w:rPr>
          <w:rFonts w:hint="eastAsia" w:ascii="宋体" w:hAnsi="宋体" w:eastAsia="宋体" w:cs="宋体"/>
          <w:color w:val="auto"/>
          <w:sz w:val="24"/>
          <w:szCs w:val="24"/>
          <w:highlight w:val="none"/>
        </w:rPr>
        <w:t>递交《招标文件发售登记表》（加盖投标人公章）并以现金方式购买招标文件。</w:t>
      </w:r>
    </w:p>
    <w:p w14:paraId="30E36E87">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rPr>
        <w:t>非现场</w:t>
      </w:r>
      <w:r>
        <w:rPr>
          <w:rFonts w:hint="eastAsia" w:ascii="宋体" w:hAnsi="宋体" w:eastAsia="宋体" w:cs="宋体"/>
          <w:color w:val="auto"/>
          <w:sz w:val="24"/>
          <w:szCs w:val="24"/>
          <w:lang w:eastAsia="zh-CN"/>
        </w:rPr>
        <w:t>获取</w:t>
      </w:r>
      <w:r>
        <w:rPr>
          <w:rFonts w:hint="eastAsia" w:ascii="宋体" w:hAnsi="宋体" w:eastAsia="宋体" w:cs="宋体"/>
          <w:color w:val="auto"/>
          <w:sz w:val="24"/>
          <w:szCs w:val="24"/>
        </w:rPr>
        <w:t>及购买</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w:t>
      </w:r>
    </w:p>
    <w:p w14:paraId="7D0613D5">
      <w:pPr>
        <w:pageBreakBefore w:val="0"/>
        <w:widowControl w:val="0"/>
        <w:kinsoku/>
        <w:wordWrap/>
        <w:overflowPunct/>
        <w:topLinePunct w:val="0"/>
        <w:autoSpaceDE/>
        <w:autoSpaceDN/>
        <w:bidi w:val="0"/>
        <w:spacing w:line="4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获取</w:t>
      </w:r>
      <w:r>
        <w:rPr>
          <w:rFonts w:hint="eastAsia" w:ascii="宋体" w:hAnsi="宋体" w:eastAsia="宋体" w:cs="宋体"/>
          <w:color w:val="auto"/>
          <w:sz w:val="24"/>
          <w:szCs w:val="24"/>
          <w:highlight w:val="none"/>
        </w:rPr>
        <w:t>及招标文件提供期限内，投标人将招标文件购买费</w:t>
      </w:r>
      <w:r>
        <w:rPr>
          <w:rFonts w:hint="eastAsia" w:ascii="宋体" w:hAnsi="宋体" w:eastAsia="宋体" w:cs="宋体"/>
          <w:b/>
          <w:bCs/>
          <w:color w:val="auto"/>
          <w:sz w:val="24"/>
          <w:szCs w:val="24"/>
          <w:highlight w:val="none"/>
        </w:rPr>
        <w:t>扫描二维码付款</w:t>
      </w:r>
      <w:r>
        <w:rPr>
          <w:rFonts w:hint="eastAsia" w:ascii="宋体" w:hAnsi="宋体" w:eastAsia="宋体" w:cs="宋体"/>
          <w:color w:val="auto"/>
          <w:sz w:val="24"/>
          <w:szCs w:val="24"/>
          <w:highlight w:val="none"/>
        </w:rPr>
        <w:t>，</w:t>
      </w:r>
      <w:r>
        <w:rPr>
          <w:rFonts w:hint="eastAsia" w:ascii="宋体" w:hAnsi="宋体" w:eastAsia="宋体" w:cs="宋体"/>
          <w:b w:val="0"/>
          <w:bCs w:val="0"/>
          <w:color w:val="auto"/>
          <w:sz w:val="24"/>
          <w:szCs w:val="24"/>
          <w:highlight w:val="none"/>
        </w:rPr>
        <w:t>并将付款截图和《招标文件发售登记表》（加盖投标人</w:t>
      </w:r>
      <w:r>
        <w:rPr>
          <w:rFonts w:hint="eastAsia" w:ascii="宋体" w:hAnsi="宋体" w:eastAsia="宋体" w:cs="宋体"/>
          <w:color w:val="auto"/>
          <w:sz w:val="24"/>
          <w:szCs w:val="24"/>
          <w:highlight w:val="none"/>
        </w:rPr>
        <w:t>公章）扫描后发送</w:t>
      </w:r>
      <w:r>
        <w:rPr>
          <w:rFonts w:hint="eastAsia" w:ascii="宋体" w:hAnsi="宋体" w:eastAsia="宋体" w:cs="宋体"/>
          <w:b/>
          <w:bCs/>
          <w:color w:val="auto"/>
          <w:sz w:val="24"/>
          <w:szCs w:val="24"/>
        </w:rPr>
        <w:t>scitcq202</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@163.com</w:t>
      </w:r>
      <w:r>
        <w:rPr>
          <w:rFonts w:hint="eastAsia" w:ascii="宋体" w:hAnsi="宋体" w:eastAsia="宋体" w:cs="宋体"/>
          <w:color w:val="auto"/>
          <w:sz w:val="24"/>
          <w:szCs w:val="24"/>
          <w:highlight w:val="none"/>
        </w:rPr>
        <w:t>。电子发票发送到招标文件发售登记表填写的邮箱。</w:t>
      </w:r>
    </w:p>
    <w:p w14:paraId="54915C7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注：通过邮件递交登记表的</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，邮件主题：项目名称+采购执行编号+公司名称；</w:t>
      </w:r>
    </w:p>
    <w:bookmarkEnd w:id="86"/>
    <w:p w14:paraId="08D1C318">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3.招标文件售价：人民币</w:t>
      </w:r>
      <w:r>
        <w:rPr>
          <w:rFonts w:hint="eastAsia" w:ascii="宋体" w:hAnsi="宋体" w:eastAsia="宋体" w:cs="宋体"/>
          <w:color w:val="auto"/>
          <w:sz w:val="24"/>
          <w:szCs w:val="24"/>
          <w:lang w:val="en-US" w:eastAsia="zh-CN"/>
        </w:rPr>
        <w:t>300</w:t>
      </w:r>
      <w:r>
        <w:rPr>
          <w:rFonts w:hint="eastAsia" w:ascii="宋体" w:hAnsi="宋体" w:eastAsia="宋体" w:cs="宋体"/>
          <w:color w:val="auto"/>
          <w:sz w:val="24"/>
          <w:szCs w:val="24"/>
        </w:rPr>
        <w:t>元/包。</w:t>
      </w:r>
    </w:p>
    <w:p w14:paraId="36170A86">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（五）投标地点：重庆市公共资源交易中心开标厅（地址：重庆市渝北区青枫北路6号渝兴广场B10栋2层）</w:t>
      </w:r>
    </w:p>
    <w:p w14:paraId="1A8C0443">
      <w:pPr>
        <w:spacing w:line="4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（六）投标截止时间：</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日北京时间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00</w:t>
      </w:r>
    </w:p>
    <w:p w14:paraId="6BF93AAF">
      <w:pPr>
        <w:spacing w:line="4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（七）开标时间：</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日北京时间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00</w:t>
      </w:r>
    </w:p>
    <w:p w14:paraId="58AF4D9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（八）开标地点：同投标地点</w:t>
      </w:r>
    </w:p>
    <w:p w14:paraId="03DD6B18">
      <w:pPr>
        <w:pStyle w:val="3"/>
        <w:spacing w:line="400" w:lineRule="exact"/>
        <w:ind w:firstLine="482" w:firstLineChars="200"/>
        <w:rPr>
          <w:rFonts w:hint="eastAsia" w:ascii="宋体" w:hAnsi="宋体" w:eastAsia="宋体" w:cs="宋体"/>
          <w:b/>
          <w:color w:val="auto"/>
          <w:sz w:val="24"/>
        </w:rPr>
      </w:pPr>
      <w:bookmarkStart w:id="87" w:name="_Toc11844"/>
      <w:bookmarkStart w:id="88" w:name="_Toc22111"/>
      <w:bookmarkStart w:id="89" w:name="_Toc9290"/>
      <w:bookmarkStart w:id="90" w:name="_Toc3476"/>
      <w:bookmarkStart w:id="91" w:name="_Toc23960"/>
      <w:bookmarkStart w:id="92" w:name="_Toc75793500"/>
      <w:bookmarkStart w:id="93" w:name="_Toc30895"/>
      <w:bookmarkStart w:id="94" w:name="_Toc12090"/>
      <w:bookmarkStart w:id="95" w:name="_Toc27726"/>
      <w:bookmarkStart w:id="96" w:name="_Toc18100"/>
      <w:bookmarkStart w:id="97" w:name="_Toc7836"/>
      <w:bookmarkStart w:id="98" w:name="_Toc25854"/>
      <w:bookmarkStart w:id="99" w:name="_Toc15717"/>
      <w:bookmarkStart w:id="100" w:name="_Toc24604"/>
      <w:bookmarkStart w:id="101" w:name="_Toc524"/>
      <w:bookmarkStart w:id="102" w:name="_Toc12663"/>
      <w:bookmarkStart w:id="103" w:name="_Toc118"/>
      <w:r>
        <w:rPr>
          <w:rFonts w:hint="eastAsia" w:ascii="宋体" w:hAnsi="宋体" w:eastAsia="宋体" w:cs="宋体"/>
          <w:b/>
          <w:color w:val="auto"/>
          <w:sz w:val="24"/>
        </w:rPr>
        <w:t>五、投标保证金</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03A38A4F">
      <w:pPr>
        <w:spacing w:line="400" w:lineRule="exact"/>
        <w:ind w:firstLine="480" w:firstLineChars="200"/>
        <w:rPr>
          <w:rFonts w:hint="eastAsia" w:ascii="宋体" w:hAnsi="宋体" w:eastAsia="宋体" w:cs="宋体"/>
          <w:color w:val="auto"/>
          <w:sz w:val="24"/>
          <w:szCs w:val="24"/>
        </w:rPr>
      </w:pPr>
      <w:bookmarkStart w:id="104" w:name="_Toc29744"/>
      <w:bookmarkStart w:id="105" w:name="_Toc9257"/>
      <w:bookmarkStart w:id="106" w:name="_Toc75793501"/>
      <w:bookmarkStart w:id="107" w:name="_Toc24689"/>
      <w:bookmarkStart w:id="108" w:name="_Toc24588"/>
      <w:bookmarkStart w:id="109" w:name="_Toc18802"/>
      <w:bookmarkStart w:id="110" w:name="_Toc28799"/>
      <w:bookmarkStart w:id="111" w:name="_Toc441"/>
      <w:bookmarkStart w:id="112" w:name="_Toc12760"/>
      <w:bookmarkStart w:id="113" w:name="_Toc29945"/>
      <w:bookmarkStart w:id="114" w:name="_Toc21524"/>
      <w:bookmarkStart w:id="115" w:name="_Toc5839"/>
      <w:bookmarkStart w:id="116" w:name="_Toc16198"/>
      <w:bookmarkStart w:id="117" w:name="_Toc3188"/>
      <w:bookmarkStart w:id="118" w:name="_Toc8081"/>
      <w:bookmarkStart w:id="119" w:name="_Toc31399"/>
      <w:r>
        <w:rPr>
          <w:rFonts w:hint="eastAsia" w:ascii="宋体" w:hAnsi="宋体" w:eastAsia="宋体" w:cs="宋体"/>
          <w:color w:val="auto"/>
          <w:sz w:val="24"/>
          <w:szCs w:val="24"/>
        </w:rPr>
        <w:t>（一）投标保证金递交</w:t>
      </w:r>
    </w:p>
    <w:p w14:paraId="4F3B2BF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1.转账方式</w:t>
      </w:r>
    </w:p>
    <w:p w14:paraId="6B85159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1.1投标人应足额交纳投标保证金（保证金金额详见本篇，一、招标项目内容），并汇至所投包对应的任一账户，投标保证金的到账截止时间同投标截止时间。</w:t>
      </w:r>
    </w:p>
    <w:p w14:paraId="547C1FA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投标保证金账户：</w:t>
      </w:r>
    </w:p>
    <w:tbl>
      <w:tblPr>
        <w:tblStyle w:val="59"/>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700"/>
        <w:gridCol w:w="6300"/>
      </w:tblGrid>
      <w:tr w14:paraId="1D2C4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CFB4D3B">
            <w:pPr>
              <w:keepNext w:val="0"/>
              <w:keepLines w:val="0"/>
              <w:widowControl/>
              <w:suppressLineNumbers w:val="0"/>
              <w:spacing w:line="375" w:lineRule="atLeast"/>
              <w:jc w:val="left"/>
            </w:pPr>
            <w:r>
              <w:rPr>
                <w:rFonts w:ascii="宋体" w:hAnsi="宋体" w:eastAsia="宋体" w:cs="宋体"/>
                <w:sz w:val="24"/>
                <w:szCs w:val="24"/>
              </w:rPr>
              <w:t>  户名:重庆联合产权交易所集团股份有限公司</w:t>
            </w:r>
          </w:p>
        </w:tc>
      </w:tr>
      <w:tr w14:paraId="5844E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BF44AA7">
            <w:pPr>
              <w:keepNext w:val="0"/>
              <w:keepLines w:val="0"/>
              <w:widowControl/>
              <w:suppressLineNumbers w:val="0"/>
              <w:spacing w:line="375" w:lineRule="atLeast"/>
              <w:jc w:val="center"/>
            </w:pPr>
            <w:r>
              <w:rPr>
                <w:rFonts w:ascii="宋体" w:hAnsi="宋体" w:eastAsia="宋体" w:cs="宋体"/>
                <w:sz w:val="24"/>
                <w:szCs w:val="24"/>
              </w:rPr>
              <w:t>分包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80C5367">
            <w:pPr>
              <w:keepNext w:val="0"/>
              <w:keepLines w:val="0"/>
              <w:widowControl/>
              <w:suppressLineNumbers w:val="0"/>
              <w:spacing w:line="375" w:lineRule="atLeast"/>
              <w:jc w:val="center"/>
            </w:pPr>
            <w:r>
              <w:rPr>
                <w:rFonts w:ascii="宋体" w:hAnsi="宋体" w:eastAsia="宋体" w:cs="宋体"/>
                <w:sz w:val="24"/>
                <w:szCs w:val="24"/>
              </w:rPr>
              <w:t>银行信息</w:t>
            </w:r>
          </w:p>
        </w:tc>
      </w:tr>
      <w:tr w14:paraId="1CA97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1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8F8937E">
            <w:pPr>
              <w:keepNext w:val="0"/>
              <w:keepLines w:val="0"/>
              <w:widowControl/>
              <w:suppressLineNumbers w:val="0"/>
              <w:spacing w:line="375" w:lineRule="atLeast"/>
              <w:jc w:val="center"/>
            </w:pPr>
            <w:r>
              <w:rPr>
                <w:rFonts w:ascii="宋体" w:hAnsi="宋体" w:eastAsia="宋体" w:cs="宋体"/>
                <w:sz w:val="24"/>
                <w:szCs w:val="24"/>
              </w:rPr>
              <w:t>01</w:t>
            </w:r>
          </w:p>
        </w:tc>
        <w:tc>
          <w:tcPr>
            <w:tcW w:w="3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tbl>
            <w:tblPr>
              <w:tblStyle w:val="5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8"/>
              <w:gridCol w:w="629"/>
              <w:gridCol w:w="5027"/>
            </w:tblGrid>
            <w:tr w14:paraId="6F220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42AD983">
                  <w:pPr>
                    <w:keepNext w:val="0"/>
                    <w:keepLines w:val="0"/>
                    <w:widowControl/>
                    <w:suppressLineNumbers w:val="0"/>
                    <w:spacing w:line="375" w:lineRule="atLeast"/>
                    <w:jc w:val="center"/>
                  </w:pPr>
                  <w:r>
                    <w:rPr>
                      <w:rFonts w:ascii="宋体" w:hAnsi="宋体" w:eastAsia="宋体" w:cs="宋体"/>
                      <w:sz w:val="24"/>
                      <w:szCs w:val="24"/>
                    </w:rPr>
                    <w:t>账号1</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511C72E">
                  <w:pPr>
                    <w:keepNext w:val="0"/>
                    <w:keepLines w:val="0"/>
                    <w:widowControl/>
                    <w:suppressLineNumbers w:val="0"/>
                    <w:spacing w:line="375" w:lineRule="atLeast"/>
                    <w:jc w:val="center"/>
                  </w:pPr>
                  <w:r>
                    <w:rPr>
                      <w:rFonts w:ascii="宋体" w:hAnsi="宋体" w:eastAsia="宋体" w:cs="宋体"/>
                      <w:sz w:val="24"/>
                      <w:szCs w:val="24"/>
                    </w:rPr>
                    <w:t>开户行</w:t>
                  </w:r>
                </w:p>
              </w:tc>
              <w:tc>
                <w:tcPr>
                  <w:tcW w:w="502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2C38DFF">
                  <w:pPr>
                    <w:keepNext w:val="0"/>
                    <w:keepLines w:val="0"/>
                    <w:widowControl/>
                    <w:suppressLineNumbers w:val="0"/>
                    <w:spacing w:line="300" w:lineRule="atLeast"/>
                    <w:jc w:val="center"/>
                  </w:pPr>
                  <w:r>
                    <w:rPr>
                      <w:rFonts w:ascii="宋体" w:hAnsi="宋体" w:eastAsia="宋体" w:cs="宋体"/>
                      <w:sz w:val="24"/>
                      <w:szCs w:val="24"/>
                    </w:rPr>
                    <w:t>重庆银行七星岗支行</w:t>
                  </w:r>
                </w:p>
              </w:tc>
            </w:tr>
            <w:tr w14:paraId="730FE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A14C677">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C7F8516">
                  <w:pPr>
                    <w:keepNext w:val="0"/>
                    <w:keepLines w:val="0"/>
                    <w:widowControl/>
                    <w:suppressLineNumbers w:val="0"/>
                    <w:spacing w:line="375" w:lineRule="atLeast"/>
                    <w:jc w:val="center"/>
                  </w:pPr>
                  <w:r>
                    <w:rPr>
                      <w:rFonts w:ascii="宋体" w:hAnsi="宋体" w:eastAsia="宋体" w:cs="宋体"/>
                      <w:sz w:val="24"/>
                      <w:szCs w:val="24"/>
                    </w:rPr>
                    <w:t>账号</w:t>
                  </w:r>
                </w:p>
              </w:tc>
              <w:tc>
                <w:tcPr>
                  <w:tcW w:w="502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E5B03EE">
                  <w:pPr>
                    <w:keepNext w:val="0"/>
                    <w:keepLines w:val="0"/>
                    <w:widowControl/>
                    <w:suppressLineNumbers w:val="0"/>
                    <w:spacing w:line="300" w:lineRule="atLeast"/>
                    <w:jc w:val="center"/>
                  </w:pPr>
                  <w:r>
                    <w:rPr>
                      <w:rFonts w:ascii="宋体" w:hAnsi="宋体" w:eastAsia="宋体" w:cs="宋体"/>
                      <w:sz w:val="24"/>
                      <w:szCs w:val="24"/>
                    </w:rPr>
                    <w:t>150101040015061160445</w:t>
                  </w:r>
                </w:p>
              </w:tc>
            </w:tr>
            <w:tr w14:paraId="0FEA6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E8DE41B">
                  <w:pPr>
                    <w:keepNext w:val="0"/>
                    <w:keepLines w:val="0"/>
                    <w:widowControl/>
                    <w:suppressLineNumbers w:val="0"/>
                    <w:spacing w:line="375" w:lineRule="atLeast"/>
                    <w:jc w:val="center"/>
                  </w:pPr>
                  <w:r>
                    <w:rPr>
                      <w:rFonts w:ascii="宋体" w:hAnsi="宋体" w:eastAsia="宋体" w:cs="宋体"/>
                      <w:sz w:val="24"/>
                      <w:szCs w:val="24"/>
                    </w:rPr>
                    <w:t>账号2</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B30BD84">
                  <w:pPr>
                    <w:keepNext w:val="0"/>
                    <w:keepLines w:val="0"/>
                    <w:widowControl/>
                    <w:suppressLineNumbers w:val="0"/>
                    <w:spacing w:line="375" w:lineRule="atLeast"/>
                    <w:jc w:val="center"/>
                  </w:pPr>
                  <w:r>
                    <w:rPr>
                      <w:rFonts w:ascii="宋体" w:hAnsi="宋体" w:eastAsia="宋体" w:cs="宋体"/>
                      <w:sz w:val="24"/>
                      <w:szCs w:val="24"/>
                    </w:rPr>
                    <w:t>开户行</w:t>
                  </w:r>
                </w:p>
              </w:tc>
              <w:tc>
                <w:tcPr>
                  <w:tcW w:w="502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176BFA2">
                  <w:pPr>
                    <w:keepNext w:val="0"/>
                    <w:keepLines w:val="0"/>
                    <w:widowControl/>
                    <w:suppressLineNumbers w:val="0"/>
                    <w:spacing w:line="300" w:lineRule="atLeast"/>
                    <w:jc w:val="center"/>
                  </w:pPr>
                  <w:r>
                    <w:rPr>
                      <w:rFonts w:ascii="宋体" w:hAnsi="宋体" w:eastAsia="宋体" w:cs="宋体"/>
                      <w:sz w:val="24"/>
                      <w:szCs w:val="24"/>
                    </w:rPr>
                    <w:t>中国建设银行股份有限公司重庆渝中支行</w:t>
                  </w:r>
                </w:p>
              </w:tc>
            </w:tr>
            <w:tr w14:paraId="5E1D5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3F26805">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78A7F6A">
                  <w:pPr>
                    <w:keepNext w:val="0"/>
                    <w:keepLines w:val="0"/>
                    <w:widowControl/>
                    <w:suppressLineNumbers w:val="0"/>
                    <w:spacing w:line="375" w:lineRule="atLeast"/>
                    <w:jc w:val="center"/>
                  </w:pPr>
                  <w:r>
                    <w:rPr>
                      <w:rFonts w:ascii="宋体" w:hAnsi="宋体" w:eastAsia="宋体" w:cs="宋体"/>
                      <w:sz w:val="24"/>
                      <w:szCs w:val="24"/>
                    </w:rPr>
                    <w:t>账号</w:t>
                  </w:r>
                </w:p>
              </w:tc>
              <w:tc>
                <w:tcPr>
                  <w:tcW w:w="502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FDD71BF">
                  <w:pPr>
                    <w:keepNext w:val="0"/>
                    <w:keepLines w:val="0"/>
                    <w:widowControl/>
                    <w:suppressLineNumbers w:val="0"/>
                    <w:spacing w:line="300" w:lineRule="atLeast"/>
                    <w:jc w:val="center"/>
                  </w:pPr>
                  <w:r>
                    <w:rPr>
                      <w:rFonts w:ascii="宋体" w:hAnsi="宋体" w:eastAsia="宋体" w:cs="宋体"/>
                      <w:sz w:val="24"/>
                      <w:szCs w:val="24"/>
                    </w:rPr>
                    <w:t>6232813760001825891</w:t>
                  </w:r>
                </w:p>
              </w:tc>
            </w:tr>
          </w:tbl>
          <w:p w14:paraId="387C2A1F">
            <w:pPr>
              <w:jc w:val="center"/>
            </w:pPr>
          </w:p>
        </w:tc>
      </w:tr>
      <w:tr w14:paraId="238C0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8455FEB">
            <w:pPr>
              <w:keepNext w:val="0"/>
              <w:keepLines w:val="0"/>
              <w:widowControl/>
              <w:suppressLineNumbers w:val="0"/>
              <w:spacing w:line="375" w:lineRule="atLeast"/>
              <w:jc w:val="left"/>
            </w:pPr>
            <w:r>
              <w:rPr>
                <w:rFonts w:ascii="宋体" w:hAnsi="宋体" w:eastAsia="宋体" w:cs="宋体"/>
                <w:sz w:val="24"/>
                <w:szCs w:val="24"/>
              </w:rPr>
              <w:t xml:space="preserve">银行行号： </w:t>
            </w:r>
            <w:r>
              <w:rPr>
                <w:rFonts w:ascii="宋体" w:hAnsi="宋体" w:eastAsia="宋体" w:cs="宋体"/>
                <w:sz w:val="24"/>
                <w:szCs w:val="24"/>
              </w:rPr>
              <w:br w:type="textWrapping"/>
            </w:r>
            <w:r>
              <w:rPr>
                <w:rFonts w:ascii="宋体" w:hAnsi="宋体" w:eastAsia="宋体" w:cs="宋体"/>
                <w:sz w:val="24"/>
                <w:szCs w:val="24"/>
              </w:rPr>
              <w:t xml:space="preserve">请登录重庆市公共资源交易网（www.cqggzy.com）对应栏目查看。 </w:t>
            </w:r>
            <w:r>
              <w:rPr>
                <w:rFonts w:ascii="宋体" w:hAnsi="宋体" w:eastAsia="宋体" w:cs="宋体"/>
                <w:sz w:val="24"/>
                <w:szCs w:val="24"/>
              </w:rPr>
              <w:br w:type="textWrapping"/>
            </w:r>
            <w:r>
              <w:rPr>
                <w:rFonts w:ascii="宋体" w:hAnsi="宋体" w:eastAsia="宋体" w:cs="宋体"/>
                <w:sz w:val="24"/>
                <w:szCs w:val="24"/>
              </w:rPr>
              <w:t xml:space="preserve">路径：服务导航-政府采购-办事指引-重庆市公共资源交易中心政府采购项目保证金银行联行行号。 </w:t>
            </w:r>
          </w:p>
        </w:tc>
      </w:tr>
    </w:tbl>
    <w:p w14:paraId="122F2B82">
      <w:pPr>
        <w:rPr>
          <w:sz w:val="24"/>
          <w:szCs w:val="24"/>
        </w:rPr>
      </w:pPr>
    </w:p>
    <w:p w14:paraId="3789A830">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1.2各投标人在银行转账（电汇）时，须充分考虑银行转账（电汇）的时间差风险，如同城转账、异地转账或汇款、跨行转账或电汇的时间要求。</w:t>
      </w:r>
    </w:p>
    <w:p w14:paraId="1F3AD717">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2.投标保证金保函方式</w:t>
      </w:r>
    </w:p>
    <w:p w14:paraId="0C2F5A7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投标人应提供真实有效的投标保证金保函（电子保函提供复印件，纸质保函提供原件），投标保证金的保函担保金额应不低于投标保证金金额（保证金金额详见本篇，一、招标项目内容），担保方应为中华人民共和国境内注册的可开展非融资担保类业务的银行、保险公司、担保公司等金融机构。</w:t>
      </w:r>
    </w:p>
    <w:p w14:paraId="19BA2A5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2.2投标保证金保函有效期与投标文件有效期保持一致。</w:t>
      </w:r>
    </w:p>
    <w:p w14:paraId="4D4839F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2.3投标保证金保函单独密封，随投标文件一并递交，投标保证金保函递交截止时间同投标截止时间。</w:t>
      </w:r>
    </w:p>
    <w:p w14:paraId="44C0102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（二）保证金退还方式</w:t>
      </w:r>
    </w:p>
    <w:p w14:paraId="7514FEA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1.未中标投标人的保证金，在中标通知书发放后，重庆市公共资源交易中心在五个工作日内按来款渠道直接退还。</w:t>
      </w:r>
    </w:p>
    <w:p w14:paraId="1BA653E9">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2.中标人的投标保证金，在中标人与采购人签订合同后，重庆市公共资源交易中心在五个工作日内按资金来款渠道直接退还。</w:t>
      </w:r>
    </w:p>
    <w:p w14:paraId="02CF01A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重庆市公共资源交易中心咨询电话：023-63625633</w:t>
      </w:r>
    </w:p>
    <w:p w14:paraId="45E75E63">
      <w:pPr>
        <w:pStyle w:val="3"/>
        <w:spacing w:line="400" w:lineRule="exact"/>
        <w:ind w:firstLine="482" w:firstLineChars="200"/>
        <w:rPr>
          <w:rFonts w:hint="eastAsia" w:ascii="宋体" w:hAnsi="宋体" w:eastAsia="宋体" w:cs="宋体"/>
          <w:b/>
          <w:color w:val="auto"/>
          <w:sz w:val="24"/>
        </w:rPr>
      </w:pPr>
      <w:bookmarkStart w:id="120" w:name="_Toc22089"/>
      <w:r>
        <w:rPr>
          <w:rFonts w:hint="eastAsia" w:ascii="宋体" w:hAnsi="宋体" w:eastAsia="宋体" w:cs="宋体"/>
          <w:b/>
          <w:color w:val="auto"/>
          <w:sz w:val="24"/>
        </w:rPr>
        <w:t>六、采购项目需落实的政府采购政策</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3B9FBA5F">
      <w:pPr>
        <w:snapToGrid w:val="0"/>
        <w:spacing w:line="400" w:lineRule="exact"/>
        <w:ind w:firstLine="480" w:firstLineChars="200"/>
        <w:rPr>
          <w:rFonts w:hint="eastAsia" w:ascii="宋体" w:hAnsi="宋体" w:eastAsia="宋体" w:cs="宋体"/>
          <w:color w:val="auto"/>
          <w:sz w:val="24"/>
          <w:szCs w:val="24"/>
        </w:rPr>
      </w:pPr>
      <w:bookmarkStart w:id="121" w:name="OLE_LINK6"/>
      <w:r>
        <w:rPr>
          <w:rFonts w:hint="eastAsia" w:ascii="宋体" w:hAnsi="宋体" w:eastAsia="宋体" w:cs="宋体"/>
          <w:color w:val="auto"/>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5DB8B85C">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（二）按照财政部、工业和信息化部关于印发《政府采购促进中小企业发展管理办法》的通知（财库〔2020〕46号）的规定，落实促进中小企业发展政策。</w:t>
      </w:r>
    </w:p>
    <w:p w14:paraId="5A65DC75">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（三）按照《财政部、司法部关于政府采购支持监狱企业发展有关问题的通知》（财库〔2014〕68号）的规定，落实支持监狱企业发展政策。</w:t>
      </w:r>
    </w:p>
    <w:p w14:paraId="0C5AE21C">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（四）按照《三部门联合发布关于促进残疾人就业政府采购政策的通知》（财库〔2017〕 141号）的规定，落实支持残疾人福利性单位发展政策。</w:t>
      </w:r>
    </w:p>
    <w:bookmarkEnd w:id="121"/>
    <w:p w14:paraId="5DF5A700">
      <w:pPr>
        <w:pStyle w:val="3"/>
        <w:spacing w:line="400" w:lineRule="exact"/>
        <w:ind w:firstLine="482" w:firstLineChars="200"/>
        <w:rPr>
          <w:rFonts w:hint="eastAsia" w:ascii="宋体" w:hAnsi="宋体" w:eastAsia="宋体" w:cs="宋体"/>
          <w:b/>
          <w:color w:val="auto"/>
          <w:sz w:val="24"/>
        </w:rPr>
      </w:pPr>
      <w:bookmarkStart w:id="122" w:name="_Toc13146"/>
      <w:bookmarkStart w:id="123" w:name="_Toc22349"/>
      <w:bookmarkStart w:id="124" w:name="_Toc10747"/>
      <w:bookmarkStart w:id="125" w:name="_Toc30916"/>
      <w:bookmarkStart w:id="126" w:name="_Toc75793502"/>
      <w:bookmarkStart w:id="127" w:name="_Toc3810"/>
      <w:bookmarkStart w:id="128" w:name="_Toc29169"/>
      <w:bookmarkStart w:id="129" w:name="_Toc21799"/>
      <w:bookmarkStart w:id="130" w:name="_Toc16322"/>
      <w:bookmarkStart w:id="131" w:name="_Toc1373"/>
      <w:bookmarkStart w:id="132" w:name="_Toc9931"/>
      <w:bookmarkStart w:id="133" w:name="_Toc18921"/>
      <w:bookmarkStart w:id="134" w:name="_Toc19755"/>
      <w:bookmarkStart w:id="135" w:name="_Toc22428"/>
      <w:bookmarkStart w:id="136" w:name="_Toc4869"/>
      <w:bookmarkStart w:id="137" w:name="_Toc13460"/>
      <w:bookmarkStart w:id="138" w:name="_Toc28299"/>
      <w:r>
        <w:rPr>
          <w:rFonts w:hint="eastAsia" w:ascii="宋体" w:hAnsi="宋体" w:eastAsia="宋体" w:cs="宋体"/>
          <w:b/>
          <w:color w:val="auto"/>
          <w:sz w:val="24"/>
        </w:rPr>
        <w:t>七、投标有关规定</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2B7D868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（一）单位负责人为同一人或者存在直接控股、管理关系的不同投标人，不得参加同一合同项（包）下的政府采购活动。</w:t>
      </w:r>
    </w:p>
    <w:p w14:paraId="03499D4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（二）为采购项目提供整体设计、规范编制或者项目管理、监理、检测等服务的投标人，不得再参加该采购项目的其他采购活动。</w:t>
      </w:r>
    </w:p>
    <w:p w14:paraId="02CAF06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（三）本项目若有澄清文件一律在重庆市政府采购网（www.ccgp-chongqing.gov.cn）上发布，请各投标人注意下载或到采购代理机构领取；无论投标人下载或领取与否，均视同投标人已知晓本项目澄清文件的内容。</w:t>
      </w:r>
    </w:p>
    <w:p w14:paraId="761522F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（四）超过投标截止时间递交的投标文件，恕不接收。</w:t>
      </w:r>
    </w:p>
    <w:p w14:paraId="06987A0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（五）投标费用：无论投标结果如何，投标人参与本项目投标的所有费用均应由投标人自行承担。</w:t>
      </w:r>
    </w:p>
    <w:p w14:paraId="2FDDC3E5">
      <w:pPr>
        <w:pageBreakBefore w:val="0"/>
        <w:widowControl w:val="0"/>
        <w:kinsoku/>
        <w:wordWrap/>
        <w:overflowPunct/>
        <w:topLinePunct w:val="0"/>
        <w:autoSpaceDE/>
        <w:autoSpaceDN/>
        <w:bidi w:val="0"/>
        <w:snapToGrid w:val="0"/>
        <w:spacing w:line="4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（六）本项目不接受联合体参与投标，否则按无效投标处理。</w:t>
      </w:r>
    </w:p>
    <w:p w14:paraId="390369D2">
      <w:pPr>
        <w:snapToGrid w:val="0"/>
        <w:spacing w:line="4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（七）</w:t>
      </w:r>
      <w:r>
        <w:rPr>
          <w:rFonts w:hint="eastAsia" w:ascii="宋体" w:hAnsi="宋体" w:cs="宋体"/>
          <w:b/>
          <w:bCs/>
          <w:color w:val="auto"/>
          <w:sz w:val="24"/>
          <w:szCs w:val="24"/>
        </w:rPr>
        <w:t>本项目接受按照“</w:t>
      </w:r>
      <w:r>
        <w:rPr>
          <w:rFonts w:hint="eastAsia" w:ascii="宋体" w:hAnsi="宋体" w:cs="宋体"/>
          <w:b/>
          <w:color w:val="auto"/>
          <w:sz w:val="24"/>
          <w:szCs w:val="24"/>
        </w:rPr>
        <w:t>落实政府采购政策需满足的资格要求”执行合同分包政策</w:t>
      </w:r>
      <w:r>
        <w:rPr>
          <w:rFonts w:hint="eastAsia" w:ascii="宋体" w:hAnsi="宋体" w:cs="宋体"/>
          <w:b/>
          <w:bCs/>
          <w:color w:val="auto"/>
          <w:sz w:val="24"/>
          <w:szCs w:val="24"/>
        </w:rPr>
        <w:t>。</w:t>
      </w:r>
    </w:p>
    <w:p w14:paraId="112C524E">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w:t>
      </w:r>
      <w:bookmarkStart w:id="139" w:name="OLE_LINK2"/>
      <w:bookmarkStart w:id="140" w:name="OLE_LINK1"/>
      <w:r>
        <w:rPr>
          <w:rFonts w:hint="eastAsia" w:ascii="宋体" w:hAnsi="宋体" w:eastAsia="宋体" w:cs="宋体"/>
          <w:color w:val="auto"/>
          <w:sz w:val="24"/>
          <w:szCs w:val="24"/>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39"/>
      <w:bookmarkEnd w:id="140"/>
      <w:r>
        <w:rPr>
          <w:rFonts w:hint="eastAsia" w:ascii="宋体" w:hAnsi="宋体" w:eastAsia="宋体" w:cs="宋体"/>
          <w:color w:val="auto"/>
          <w:sz w:val="24"/>
          <w:szCs w:val="24"/>
        </w:rPr>
        <w:t>投标人，将拒绝其参与政府采购活动。</w:t>
      </w:r>
    </w:p>
    <w:p w14:paraId="10E3929D">
      <w:pPr>
        <w:pStyle w:val="3"/>
        <w:spacing w:line="400" w:lineRule="exact"/>
        <w:ind w:firstLine="482" w:firstLineChars="200"/>
        <w:rPr>
          <w:rFonts w:hint="eastAsia" w:ascii="宋体" w:hAnsi="宋体" w:eastAsia="宋体" w:cs="宋体"/>
          <w:b/>
          <w:color w:val="auto"/>
          <w:sz w:val="24"/>
        </w:rPr>
      </w:pPr>
      <w:bookmarkStart w:id="141" w:name="_Toc30488"/>
      <w:bookmarkStart w:id="142" w:name="_Toc11494"/>
      <w:bookmarkStart w:id="143" w:name="_Toc9632"/>
      <w:bookmarkStart w:id="144" w:name="_Toc67"/>
      <w:bookmarkStart w:id="145" w:name="_Toc29351"/>
      <w:bookmarkStart w:id="146" w:name="_Toc24181"/>
      <w:bookmarkStart w:id="147" w:name="_Toc28772"/>
      <w:bookmarkStart w:id="148" w:name="_Toc75793503"/>
      <w:bookmarkStart w:id="149" w:name="_Toc20452"/>
      <w:bookmarkStart w:id="150" w:name="_Toc5228"/>
      <w:bookmarkStart w:id="151" w:name="_Toc12717"/>
      <w:bookmarkStart w:id="152" w:name="_Toc13885"/>
      <w:bookmarkStart w:id="153" w:name="_Toc14522"/>
      <w:bookmarkStart w:id="154" w:name="_Toc26782"/>
      <w:bookmarkStart w:id="155" w:name="_Toc15522"/>
      <w:bookmarkStart w:id="156" w:name="_Toc19676"/>
      <w:bookmarkStart w:id="157" w:name="_Toc23880"/>
      <w:r>
        <w:rPr>
          <w:rFonts w:hint="eastAsia" w:ascii="宋体" w:hAnsi="宋体" w:eastAsia="宋体" w:cs="宋体"/>
          <w:b/>
          <w:color w:val="auto"/>
          <w:sz w:val="24"/>
        </w:rPr>
        <w:t>八、联系方式</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19BBFEBE">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（一）采购人：重庆化工职业学院</w:t>
      </w:r>
    </w:p>
    <w:p w14:paraId="40B8261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联系人：李仁琪            </w:t>
      </w:r>
    </w:p>
    <w:p w14:paraId="66AAAF0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话：13637781672 </w:t>
      </w:r>
    </w:p>
    <w:p w14:paraId="2BE221A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址：重庆市长寿区菩提街道2009号</w:t>
      </w:r>
    </w:p>
    <w:p w14:paraId="2105385D">
      <w:pPr>
        <w:keepNext w:val="0"/>
        <w:keepLines w:val="0"/>
        <w:widowControl/>
        <w:suppressLineNumbers w:val="0"/>
        <w:shd w:val="clear" w:color="auto" w:fill="FFFFFF"/>
        <w:snapToGrid w:val="0"/>
        <w:spacing w:line="400" w:lineRule="exact"/>
        <w:ind w:left="0" w:firstLineChars="200"/>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auto"/>
        </w:rPr>
        <w:t>采购中心联系人：</w:t>
      </w:r>
      <w:r>
        <w:rPr>
          <w:rFonts w:hint="eastAsia" w:ascii="宋体" w:hAnsi="宋体" w:cs="宋体"/>
          <w:i w:val="0"/>
          <w:iCs w:val="0"/>
          <w:caps w:val="0"/>
          <w:color w:val="auto"/>
          <w:spacing w:val="0"/>
          <w:sz w:val="24"/>
          <w:szCs w:val="24"/>
          <w:shd w:val="clear" w:color="auto" w:fill="auto"/>
          <w:lang w:val="en-US" w:eastAsia="zh-CN"/>
        </w:rPr>
        <w:t>周佳佳</w:t>
      </w:r>
    </w:p>
    <w:p w14:paraId="47075822">
      <w:pPr>
        <w:keepNext w:val="0"/>
        <w:keepLines w:val="0"/>
        <w:widowControl/>
        <w:suppressLineNumbers w:val="0"/>
        <w:shd w:val="clear" w:color="auto" w:fill="FFFFFF"/>
        <w:snapToGrid w:val="0"/>
        <w:spacing w:line="400" w:lineRule="exact"/>
        <w:ind w:left="0" w:firstLineChars="200"/>
        <w:rPr>
          <w:rFonts w:hint="eastAsia" w:ascii="宋体" w:hAnsi="宋体" w:eastAsia="宋体" w:cs="宋体"/>
          <w:i w:val="0"/>
          <w:iCs w:val="0"/>
          <w:caps w:val="0"/>
          <w:color w:val="auto"/>
          <w:spacing w:val="0"/>
          <w:sz w:val="24"/>
          <w:szCs w:val="24"/>
          <w:shd w:val="clear" w:color="auto" w:fill="auto"/>
        </w:rPr>
      </w:pPr>
      <w:r>
        <w:rPr>
          <w:rFonts w:hint="eastAsia" w:ascii="宋体" w:hAnsi="宋体" w:eastAsia="宋体" w:cs="宋体"/>
          <w:i w:val="0"/>
          <w:iCs w:val="0"/>
          <w:caps w:val="0"/>
          <w:color w:val="auto"/>
          <w:spacing w:val="0"/>
          <w:sz w:val="24"/>
          <w:szCs w:val="24"/>
          <w:shd w:val="clear" w:color="auto" w:fill="auto"/>
        </w:rPr>
        <w:t>联系电话：023-81886051</w:t>
      </w:r>
    </w:p>
    <w:p w14:paraId="027A14A4">
      <w:pPr>
        <w:keepNext w:val="0"/>
        <w:keepLines w:val="0"/>
        <w:widowControl/>
        <w:suppressLineNumbers w:val="0"/>
        <w:shd w:val="clear" w:color="auto" w:fill="FFFFFF"/>
        <w:snapToGrid w:val="0"/>
        <w:spacing w:line="400" w:lineRule="exact"/>
        <w:ind w:left="0" w:firstLineChars="20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auto"/>
        </w:rPr>
        <w:t>监督人：</w:t>
      </w:r>
      <w:r>
        <w:rPr>
          <w:rFonts w:hint="eastAsia" w:ascii="宋体" w:hAnsi="宋体" w:cs="宋体"/>
          <w:i w:val="0"/>
          <w:iCs w:val="0"/>
          <w:caps w:val="0"/>
          <w:color w:val="auto"/>
          <w:spacing w:val="0"/>
          <w:sz w:val="24"/>
          <w:szCs w:val="24"/>
          <w:shd w:val="clear" w:color="auto" w:fill="auto"/>
          <w:lang w:val="en-US" w:eastAsia="zh-CN"/>
        </w:rPr>
        <w:t>杨宏</w:t>
      </w:r>
    </w:p>
    <w:p w14:paraId="5C7F97C0">
      <w:pPr>
        <w:keepNext w:val="0"/>
        <w:keepLines w:val="0"/>
        <w:widowControl/>
        <w:suppressLineNumbers w:val="0"/>
        <w:shd w:val="clear" w:color="auto" w:fill="FFFFFF"/>
        <w:snapToGrid w:val="0"/>
        <w:spacing w:line="400" w:lineRule="exact"/>
        <w:ind w:left="0" w:firstLineChars="200"/>
        <w:rPr>
          <w:rFonts w:hint="eastAsia" w:ascii="宋体" w:hAnsi="宋体" w:eastAsia="宋体" w:cs="宋体"/>
          <w:i w:val="0"/>
          <w:iCs w:val="0"/>
          <w:caps w:val="0"/>
          <w:color w:val="auto"/>
          <w:spacing w:val="0"/>
          <w:sz w:val="24"/>
          <w:szCs w:val="24"/>
          <w:lang w:val="en-US"/>
        </w:rPr>
      </w:pPr>
      <w:r>
        <w:rPr>
          <w:rFonts w:hint="eastAsia" w:ascii="宋体" w:hAnsi="宋体" w:eastAsia="宋体" w:cs="宋体"/>
          <w:i w:val="0"/>
          <w:iCs w:val="0"/>
          <w:caps w:val="0"/>
          <w:color w:val="auto"/>
          <w:spacing w:val="0"/>
          <w:sz w:val="24"/>
          <w:szCs w:val="24"/>
          <w:shd w:val="clear" w:color="auto" w:fill="auto"/>
        </w:rPr>
        <w:t>联系电话：</w:t>
      </w:r>
      <w:r>
        <w:rPr>
          <w:rFonts w:hint="eastAsia" w:ascii="宋体" w:hAnsi="宋体" w:cs="宋体"/>
          <w:sz w:val="24"/>
          <w:szCs w:val="24"/>
        </w:rPr>
        <w:t>15223187233</w:t>
      </w:r>
    </w:p>
    <w:p w14:paraId="7CCD918C">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（二）采购代理机构：四川国际招标有限责任公司</w:t>
      </w:r>
    </w:p>
    <w:p w14:paraId="70C4F4FD">
      <w:pPr>
        <w:snapToGrid w:val="0"/>
        <w:spacing w:line="40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rPr>
        <w:t>联系人：</w:t>
      </w:r>
      <w:bookmarkStart w:id="158" w:name="OLE_LINK11"/>
      <w:r>
        <w:rPr>
          <w:rFonts w:hint="eastAsia" w:ascii="宋体" w:hAnsi="宋体" w:eastAsia="宋体" w:cs="宋体"/>
          <w:color w:val="auto"/>
          <w:sz w:val="24"/>
          <w:szCs w:val="24"/>
          <w:lang w:val="en-US" w:eastAsia="zh-CN"/>
        </w:rPr>
        <w:t>周涛、</w:t>
      </w:r>
      <w:r>
        <w:rPr>
          <w:rFonts w:hint="eastAsia" w:ascii="宋体" w:hAnsi="宋体" w:cs="宋体"/>
          <w:color w:val="auto"/>
          <w:sz w:val="24"/>
          <w:szCs w:val="24"/>
          <w:lang w:val="en-US" w:eastAsia="zh-CN"/>
        </w:rPr>
        <w:t>刘洋、</w:t>
      </w:r>
      <w:r>
        <w:rPr>
          <w:rFonts w:hint="eastAsia" w:ascii="宋体" w:hAnsi="宋体" w:eastAsia="宋体" w:cs="宋体"/>
          <w:color w:val="auto"/>
          <w:sz w:val="24"/>
          <w:szCs w:val="24"/>
          <w:lang w:val="en-US" w:eastAsia="zh-CN"/>
        </w:rPr>
        <w:t>甘鹏、丁春来</w:t>
      </w:r>
    </w:p>
    <w:bookmarkEnd w:id="158"/>
    <w:p w14:paraId="4BC60F31">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电话：</w:t>
      </w:r>
      <w:bookmarkStart w:id="159" w:name="OLE_LINK12"/>
      <w:r>
        <w:rPr>
          <w:rFonts w:hint="eastAsia" w:ascii="宋体" w:hAnsi="宋体" w:eastAsia="宋体" w:cs="宋体"/>
          <w:color w:val="auto"/>
          <w:sz w:val="24"/>
          <w:szCs w:val="24"/>
          <w:lang w:val="en-US" w:eastAsia="zh-CN"/>
        </w:rPr>
        <w:t>15922641095、</w:t>
      </w:r>
      <w:r>
        <w:rPr>
          <w:rFonts w:hint="eastAsia" w:ascii="宋体" w:hAnsi="宋体" w:eastAsia="宋体" w:cs="宋体"/>
          <w:color w:val="auto"/>
          <w:sz w:val="24"/>
          <w:szCs w:val="24"/>
        </w:rPr>
        <w:t>023-67285237</w:t>
      </w:r>
    </w:p>
    <w:bookmarkEnd w:id="159"/>
    <w:p w14:paraId="2D234A77">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w:t>
      </w:r>
      <w:bookmarkStart w:id="160" w:name="OLE_LINK13"/>
      <w:r>
        <w:rPr>
          <w:rFonts w:hint="eastAsia" w:ascii="宋体" w:hAnsi="宋体" w:eastAsia="宋体" w:cs="宋体"/>
          <w:color w:val="auto"/>
          <w:sz w:val="24"/>
          <w:szCs w:val="24"/>
        </w:rPr>
        <w:t>重庆市渝北区星光大道90号土星A2座2409</w:t>
      </w:r>
      <w:bookmarkEnd w:id="17"/>
      <w:bookmarkEnd w:id="160"/>
    </w:p>
    <w:p w14:paraId="63806483">
      <w:pPr>
        <w:pStyle w:val="2"/>
        <w:spacing w:before="0" w:after="0" w:line="360" w:lineRule="auto"/>
        <w:rPr>
          <w:rFonts w:hint="eastAsia" w:ascii="宋体" w:hAnsi="宋体" w:eastAsia="宋体" w:cs="宋体"/>
          <w:b/>
          <w:color w:val="auto"/>
        </w:rPr>
      </w:pPr>
      <w:r>
        <w:rPr>
          <w:rFonts w:hint="eastAsia" w:ascii="宋体" w:hAnsi="宋体" w:eastAsia="宋体" w:cs="宋体"/>
          <w:color w:val="auto"/>
        </w:rPr>
        <w:br w:type="page"/>
      </w:r>
      <w:bookmarkStart w:id="161" w:name="_Toc725"/>
      <w:bookmarkStart w:id="162" w:name="_Toc19886"/>
      <w:bookmarkStart w:id="163" w:name="_Toc32686"/>
      <w:bookmarkStart w:id="164" w:name="_Toc1492"/>
      <w:bookmarkStart w:id="165" w:name="_Toc26176"/>
      <w:bookmarkStart w:id="166" w:name="_Toc5461"/>
      <w:bookmarkStart w:id="167" w:name="_Toc75793504"/>
      <w:bookmarkStart w:id="168" w:name="_Toc23143"/>
      <w:bookmarkStart w:id="169" w:name="_Toc8649"/>
      <w:bookmarkStart w:id="170" w:name="_Toc11017"/>
      <w:bookmarkStart w:id="171" w:name="_Toc1625"/>
      <w:bookmarkStart w:id="172" w:name="_Toc12959"/>
      <w:bookmarkStart w:id="173" w:name="_Toc2070"/>
      <w:bookmarkStart w:id="174" w:name="_Toc25639"/>
      <w:bookmarkStart w:id="175" w:name="_Toc2422"/>
      <w:bookmarkStart w:id="176" w:name="_Toc17163"/>
      <w:bookmarkStart w:id="177" w:name="_Toc7285"/>
      <w:r>
        <w:rPr>
          <w:rFonts w:hint="eastAsia" w:ascii="宋体" w:hAnsi="宋体" w:eastAsia="宋体" w:cs="宋体"/>
          <w:b/>
          <w:color w:val="auto"/>
        </w:rPr>
        <w:t xml:space="preserve">第二篇 </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ascii="宋体" w:hAnsi="宋体" w:eastAsia="宋体" w:cs="宋体"/>
          <w:b/>
          <w:color w:val="auto"/>
        </w:rPr>
        <w:t>项目技术（质量）需求</w:t>
      </w:r>
      <w:bookmarkEnd w:id="176"/>
      <w:bookmarkEnd w:id="177"/>
    </w:p>
    <w:p w14:paraId="32C9E5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0"/>
        <w:jc w:val="both"/>
        <w:textAlignment w:val="auto"/>
        <w:outlineLvl w:val="1"/>
        <w:rPr>
          <w:rFonts w:hint="eastAsia" w:ascii="宋体" w:hAnsi="宋体" w:eastAsia="宋体" w:cs="宋体"/>
          <w:b/>
          <w:bCs/>
          <w:color w:val="auto"/>
          <w:kern w:val="2"/>
          <w:sz w:val="28"/>
          <w:szCs w:val="36"/>
          <w:lang w:val="en-US" w:eastAsia="zh-CN" w:bidi="ar-SA"/>
        </w:rPr>
      </w:pPr>
      <w:bookmarkStart w:id="178" w:name="_Toc20979"/>
      <w:bookmarkStart w:id="179" w:name="_Toc6720"/>
      <w:bookmarkStart w:id="180" w:name="_Toc23656"/>
      <w:bookmarkStart w:id="181" w:name="_Toc75793505"/>
      <w:bookmarkStart w:id="182" w:name="_Toc29985"/>
      <w:bookmarkStart w:id="183" w:name="_Toc11703"/>
      <w:bookmarkStart w:id="184" w:name="_Toc22910"/>
      <w:bookmarkStart w:id="185" w:name="_Toc8370"/>
      <w:bookmarkStart w:id="186" w:name="_Toc23504"/>
      <w:bookmarkStart w:id="187" w:name="_Toc9261"/>
      <w:bookmarkStart w:id="188" w:name="_Toc688"/>
      <w:bookmarkStart w:id="189" w:name="_Toc4519"/>
      <w:bookmarkStart w:id="190" w:name="_Toc19238"/>
      <w:bookmarkStart w:id="191" w:name="_Toc7027"/>
      <w:bookmarkStart w:id="192" w:name="_Toc4913"/>
      <w:bookmarkStart w:id="193" w:name="_Toc4531"/>
      <w:bookmarkStart w:id="194" w:name="_Toc13990"/>
      <w:bookmarkStart w:id="195" w:name="_Toc1363"/>
      <w:bookmarkStart w:id="196" w:name="_Toc9920"/>
      <w:bookmarkStart w:id="197" w:name="_Toc9326"/>
      <w:bookmarkStart w:id="198" w:name="_Toc8633"/>
      <w:bookmarkStart w:id="199" w:name="_Toc2095"/>
      <w:bookmarkStart w:id="200" w:name="_Toc18187"/>
      <w:bookmarkStart w:id="201" w:name="_Toc75793508"/>
      <w:bookmarkStart w:id="202" w:name="_Toc21557"/>
      <w:bookmarkStart w:id="203" w:name="_Toc20842"/>
      <w:bookmarkStart w:id="204" w:name="_Toc15467"/>
      <w:bookmarkStart w:id="205" w:name="_Toc28164"/>
      <w:bookmarkStart w:id="206" w:name="_Toc31584"/>
      <w:bookmarkStart w:id="207" w:name="_Toc26363"/>
      <w:bookmarkStart w:id="208" w:name="_Toc19536"/>
      <w:bookmarkStart w:id="209" w:name="_Toc12529"/>
      <w:r>
        <w:rPr>
          <w:rFonts w:hint="eastAsia" w:ascii="宋体" w:hAnsi="宋体" w:eastAsia="宋体" w:cs="宋体"/>
          <w:b/>
          <w:bCs/>
          <w:color w:val="auto"/>
          <w:kern w:val="2"/>
          <w:sz w:val="28"/>
          <w:szCs w:val="36"/>
          <w:lang w:val="en-US" w:eastAsia="zh-CN" w:bidi="ar-SA"/>
        </w:rPr>
        <w:t>一、招标项目一览表</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Style w:val="5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4120"/>
        <w:gridCol w:w="1290"/>
        <w:gridCol w:w="2248"/>
        <w:gridCol w:w="1258"/>
      </w:tblGrid>
      <w:tr w14:paraId="5B7F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3" w:type="pct"/>
            <w:noWrap w:val="0"/>
            <w:vAlign w:val="center"/>
          </w:tcPr>
          <w:p w14:paraId="024FF14E">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序号</w:t>
            </w:r>
          </w:p>
        </w:tc>
        <w:tc>
          <w:tcPr>
            <w:tcW w:w="2142" w:type="pct"/>
            <w:noWrap w:val="0"/>
            <w:vAlign w:val="center"/>
          </w:tcPr>
          <w:p w14:paraId="7CC31E82">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产品名称（标的名称）</w:t>
            </w:r>
          </w:p>
        </w:tc>
        <w:tc>
          <w:tcPr>
            <w:tcW w:w="670" w:type="pct"/>
            <w:noWrap w:val="0"/>
            <w:vAlign w:val="center"/>
          </w:tcPr>
          <w:p w14:paraId="0E0E9C3B">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数量/单位</w:t>
            </w:r>
          </w:p>
        </w:tc>
        <w:tc>
          <w:tcPr>
            <w:tcW w:w="1168" w:type="pct"/>
            <w:noWrap w:val="0"/>
            <w:vAlign w:val="center"/>
          </w:tcPr>
          <w:p w14:paraId="4A7C8727">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采购标的对应的中小企业划分标准所属行业</w:t>
            </w:r>
          </w:p>
        </w:tc>
        <w:tc>
          <w:tcPr>
            <w:tcW w:w="654" w:type="pct"/>
            <w:noWrap/>
            <w:vAlign w:val="center"/>
          </w:tcPr>
          <w:p w14:paraId="58EAC2B8">
            <w:pPr>
              <w:pStyle w:val="23"/>
              <w:spacing w:line="240" w:lineRule="auto"/>
              <w:ind w:left="0"/>
              <w:jc w:val="center"/>
              <w:outlineLvl w:val="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备注</w:t>
            </w:r>
          </w:p>
        </w:tc>
      </w:tr>
      <w:tr w14:paraId="7C95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5558E120">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bookmarkStart w:id="210" w:name="OLE_LINK4" w:colFirst="1" w:colLast="1"/>
            <w:r>
              <w:rPr>
                <w:rFonts w:hint="eastAsia" w:ascii="宋体" w:hAnsi="宋体" w:eastAsia="宋体" w:cs="宋体"/>
                <w:color w:val="auto"/>
                <w:kern w:val="2"/>
                <w:sz w:val="21"/>
                <w:szCs w:val="21"/>
                <w:lang w:val="en-US" w:eastAsia="zh-CN" w:bidi="ar-SA"/>
              </w:rPr>
              <w:t>1</w:t>
            </w:r>
          </w:p>
        </w:tc>
        <w:tc>
          <w:tcPr>
            <w:tcW w:w="2142" w:type="pct"/>
            <w:noWrap w:val="0"/>
            <w:vAlign w:val="center"/>
          </w:tcPr>
          <w:p w14:paraId="4D26B90A">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光气及光气化工艺作业实操考培装置</w:t>
            </w:r>
          </w:p>
        </w:tc>
        <w:tc>
          <w:tcPr>
            <w:tcW w:w="670" w:type="pct"/>
            <w:noWrap w:val="0"/>
            <w:vAlign w:val="center"/>
          </w:tcPr>
          <w:p w14:paraId="52B876CB">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041183C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restart"/>
            <w:noWrap w:val="0"/>
            <w:vAlign w:val="center"/>
          </w:tcPr>
          <w:p w14:paraId="52459A10">
            <w:pPr>
              <w:pStyle w:val="23"/>
              <w:keepNext w:val="0"/>
              <w:keepLines w:val="0"/>
              <w:pageBreakBefore w:val="0"/>
              <w:kinsoku/>
              <w:wordWrap/>
              <w:overflowPunct/>
              <w:topLinePunct w:val="0"/>
              <w:autoSpaceDE/>
              <w:autoSpaceDN/>
              <w:bidi w:val="0"/>
              <w:adjustRightInd/>
              <w:snapToGrid/>
              <w:spacing w:line="240" w:lineRule="auto"/>
              <w:ind w:left="0" w:leftChars="0"/>
              <w:jc w:val="left"/>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1.加氢工艺作业实操考培装置为核心产品；</w:t>
            </w:r>
          </w:p>
          <w:p w14:paraId="63DDBE9B">
            <w:pPr>
              <w:pStyle w:val="23"/>
              <w:keepNext w:val="0"/>
              <w:keepLines w:val="0"/>
              <w:pageBreakBefore w:val="0"/>
              <w:kinsoku/>
              <w:wordWrap/>
              <w:overflowPunct/>
              <w:topLinePunct w:val="0"/>
              <w:autoSpaceDE/>
              <w:autoSpaceDN/>
              <w:bidi w:val="0"/>
              <w:adjustRightInd/>
              <w:snapToGrid/>
              <w:spacing w:line="240" w:lineRule="auto"/>
              <w:ind w:left="0" w:leftChars="0"/>
              <w:jc w:val="left"/>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2.该包投标产品必须为中国关境内生产。</w:t>
            </w:r>
          </w:p>
          <w:p w14:paraId="4530BE3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1"/>
                <w:szCs w:val="21"/>
                <w:lang w:val="en-US" w:eastAsia="zh-CN" w:bidi="ar-SA"/>
              </w:rPr>
            </w:pPr>
          </w:p>
        </w:tc>
      </w:tr>
      <w:tr w14:paraId="2CE1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3B1765D8">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w:t>
            </w:r>
          </w:p>
        </w:tc>
        <w:tc>
          <w:tcPr>
            <w:tcW w:w="2142" w:type="pct"/>
            <w:noWrap w:val="0"/>
            <w:vAlign w:val="center"/>
          </w:tcPr>
          <w:p w14:paraId="6B522E7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氯化工艺作业实操考培装置</w:t>
            </w:r>
          </w:p>
        </w:tc>
        <w:tc>
          <w:tcPr>
            <w:tcW w:w="670" w:type="pct"/>
            <w:noWrap w:val="0"/>
            <w:vAlign w:val="center"/>
          </w:tcPr>
          <w:p w14:paraId="535DBE6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2E898F40">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088FAAE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5FE13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1CC4C0EC">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c>
          <w:tcPr>
            <w:tcW w:w="2142" w:type="pct"/>
            <w:noWrap w:val="0"/>
            <w:vAlign w:val="center"/>
          </w:tcPr>
          <w:p w14:paraId="1F0A73E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硝化工艺作业实操考培装置</w:t>
            </w:r>
          </w:p>
        </w:tc>
        <w:tc>
          <w:tcPr>
            <w:tcW w:w="670" w:type="pct"/>
            <w:noWrap w:val="0"/>
            <w:vAlign w:val="center"/>
          </w:tcPr>
          <w:p w14:paraId="3235D121">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0E5729CB">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762A627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17D73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3B05E1F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w:t>
            </w:r>
          </w:p>
        </w:tc>
        <w:tc>
          <w:tcPr>
            <w:tcW w:w="2142" w:type="pct"/>
            <w:noWrap w:val="0"/>
            <w:vAlign w:val="center"/>
          </w:tcPr>
          <w:p w14:paraId="0376D96F">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加氢工艺作业实操考培装置</w:t>
            </w:r>
          </w:p>
        </w:tc>
        <w:tc>
          <w:tcPr>
            <w:tcW w:w="670" w:type="pct"/>
            <w:noWrap w:val="0"/>
            <w:vAlign w:val="center"/>
          </w:tcPr>
          <w:p w14:paraId="0109A0CD">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253916C1">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616395D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11FF3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363" w:type="pct"/>
            <w:noWrap w:val="0"/>
            <w:vAlign w:val="center"/>
          </w:tcPr>
          <w:p w14:paraId="3D50FDA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w:t>
            </w:r>
          </w:p>
        </w:tc>
        <w:tc>
          <w:tcPr>
            <w:tcW w:w="2142" w:type="pct"/>
            <w:noWrap w:val="0"/>
            <w:vAlign w:val="center"/>
          </w:tcPr>
          <w:p w14:paraId="2237B363">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氧化工艺作业实操考培装置</w:t>
            </w:r>
          </w:p>
        </w:tc>
        <w:tc>
          <w:tcPr>
            <w:tcW w:w="670" w:type="pct"/>
            <w:noWrap w:val="0"/>
            <w:vAlign w:val="center"/>
          </w:tcPr>
          <w:p w14:paraId="3727FEBD">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12FC7699">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22E79BA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4EDC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6F956BA8">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6</w:t>
            </w:r>
          </w:p>
        </w:tc>
        <w:tc>
          <w:tcPr>
            <w:tcW w:w="2142" w:type="pct"/>
            <w:noWrap w:val="0"/>
            <w:vAlign w:val="center"/>
          </w:tcPr>
          <w:p w14:paraId="44474BB8">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危险化学品仓储作业实训装置</w:t>
            </w:r>
          </w:p>
        </w:tc>
        <w:tc>
          <w:tcPr>
            <w:tcW w:w="670" w:type="pct"/>
            <w:noWrap w:val="0"/>
            <w:vAlign w:val="center"/>
          </w:tcPr>
          <w:p w14:paraId="5F0B2C49">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1088EFA9">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14058FE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7265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4B1C9B84">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w:t>
            </w:r>
          </w:p>
        </w:tc>
        <w:tc>
          <w:tcPr>
            <w:tcW w:w="2142" w:type="pct"/>
            <w:noWrap w:val="0"/>
            <w:vAlign w:val="center"/>
          </w:tcPr>
          <w:p w14:paraId="3844B0F1">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化工特殊作业安全技能综合实训装置</w:t>
            </w:r>
          </w:p>
        </w:tc>
        <w:tc>
          <w:tcPr>
            <w:tcW w:w="670" w:type="pct"/>
            <w:noWrap w:val="0"/>
            <w:vAlign w:val="center"/>
          </w:tcPr>
          <w:p w14:paraId="7E464940">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5A079197">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7C89684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7184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57CEB3BF">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8</w:t>
            </w:r>
          </w:p>
        </w:tc>
        <w:tc>
          <w:tcPr>
            <w:tcW w:w="2142" w:type="pct"/>
            <w:noWrap w:val="0"/>
            <w:vAlign w:val="center"/>
          </w:tcPr>
          <w:p w14:paraId="2A9553E8">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高处坠落模拟体验设施</w:t>
            </w:r>
          </w:p>
        </w:tc>
        <w:tc>
          <w:tcPr>
            <w:tcW w:w="670" w:type="pct"/>
            <w:noWrap w:val="0"/>
            <w:vAlign w:val="center"/>
          </w:tcPr>
          <w:p w14:paraId="5BF3D821">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76BBD179">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33E5758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50D54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67DEE2AD">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9</w:t>
            </w:r>
          </w:p>
        </w:tc>
        <w:tc>
          <w:tcPr>
            <w:tcW w:w="2142" w:type="pct"/>
            <w:noWrap w:val="0"/>
            <w:vAlign w:val="center"/>
          </w:tcPr>
          <w:p w14:paraId="41A0CDCF">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中毒窒息模拟体验设施</w:t>
            </w:r>
          </w:p>
        </w:tc>
        <w:tc>
          <w:tcPr>
            <w:tcW w:w="670" w:type="pct"/>
            <w:noWrap w:val="0"/>
            <w:vAlign w:val="center"/>
          </w:tcPr>
          <w:p w14:paraId="005E812E">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09FEF676">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140E877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7ACF2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63" w:type="pct"/>
            <w:noWrap w:val="0"/>
            <w:vAlign w:val="center"/>
          </w:tcPr>
          <w:p w14:paraId="76F33D47">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10</w:t>
            </w:r>
          </w:p>
        </w:tc>
        <w:tc>
          <w:tcPr>
            <w:tcW w:w="2142" w:type="pct"/>
            <w:noWrap w:val="0"/>
            <w:vAlign w:val="center"/>
          </w:tcPr>
          <w:p w14:paraId="7C4C6242">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模拟灭火体验设施</w:t>
            </w:r>
          </w:p>
        </w:tc>
        <w:tc>
          <w:tcPr>
            <w:tcW w:w="670" w:type="pct"/>
            <w:noWrap w:val="0"/>
            <w:vAlign w:val="center"/>
          </w:tcPr>
          <w:p w14:paraId="37FB8FA9">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1套</w:t>
            </w:r>
          </w:p>
        </w:tc>
        <w:tc>
          <w:tcPr>
            <w:tcW w:w="1168" w:type="pct"/>
            <w:noWrap w:val="0"/>
            <w:vAlign w:val="center"/>
          </w:tcPr>
          <w:p w14:paraId="5E1D70D0">
            <w:pPr>
              <w:pStyle w:val="23"/>
              <w:keepNext w:val="0"/>
              <w:keepLines w:val="0"/>
              <w:pageBreakBefore w:val="0"/>
              <w:kinsoku/>
              <w:wordWrap/>
              <w:overflowPunct/>
              <w:topLinePunct w:val="0"/>
              <w:autoSpaceDE/>
              <w:autoSpaceDN/>
              <w:bidi w:val="0"/>
              <w:adjustRightInd/>
              <w:snapToGrid/>
              <w:spacing w:line="240" w:lineRule="auto"/>
              <w:ind w:left="0" w:leftChars="0"/>
              <w:jc w:val="center"/>
              <w:textAlignment w:val="auto"/>
              <w:outlineLvl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工业</w:t>
            </w:r>
          </w:p>
        </w:tc>
        <w:tc>
          <w:tcPr>
            <w:tcW w:w="654" w:type="pct"/>
            <w:vMerge w:val="continue"/>
            <w:noWrap w:val="0"/>
            <w:vAlign w:val="center"/>
          </w:tcPr>
          <w:p w14:paraId="47A1362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bookmarkEnd w:id="210"/>
    </w:tbl>
    <w:p w14:paraId="70BCE3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“※”标注的服务需求为符合性审查中的实质性要求，若不满足按无效投标处理。</w:t>
      </w:r>
    </w:p>
    <w:p w14:paraId="2B37EC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lang w:val="en-US" w:eastAsia="zh-CN"/>
        </w:rPr>
      </w:pPr>
      <w:r>
        <w:rPr>
          <w:rFonts w:hint="eastAsia" w:ascii="宋体" w:hAnsi="宋体" w:eastAsia="宋体" w:cs="宋体"/>
          <w:b w:val="0"/>
          <w:bCs w:val="0"/>
          <w:color w:val="auto"/>
          <w:sz w:val="24"/>
          <w:szCs w:val="24"/>
          <w:highlight w:val="none"/>
          <w:lang w:val="en-US" w:eastAsia="zh-CN"/>
        </w:rPr>
        <w:t>“★”标注的技术需求为重要技术需求，若不满足将按照评标因素中相关规定处理。</w:t>
      </w:r>
    </w:p>
    <w:p w14:paraId="0D6883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0"/>
        <w:jc w:val="both"/>
        <w:textAlignment w:val="auto"/>
        <w:outlineLvl w:val="1"/>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bCs/>
          <w:color w:val="auto"/>
          <w:kern w:val="2"/>
          <w:sz w:val="28"/>
          <w:szCs w:val="36"/>
          <w:lang w:val="en-US" w:eastAsia="zh-CN" w:bidi="ar-SA"/>
        </w:rPr>
        <w:t>二、</w:t>
      </w:r>
      <w:r>
        <w:rPr>
          <w:rFonts w:hint="eastAsia" w:ascii="宋体" w:hAnsi="宋体" w:eastAsia="宋体" w:cs="宋体"/>
          <w:b/>
          <w:bCs/>
          <w:color w:val="auto"/>
          <w:sz w:val="28"/>
          <w:szCs w:val="36"/>
          <w:lang w:val="en-US" w:eastAsia="zh-CN"/>
        </w:rPr>
        <w:t>项目总体要求</w:t>
      </w:r>
    </w:p>
    <w:p w14:paraId="6FC4D3F6">
      <w:pPr>
        <w:pStyle w:val="22"/>
        <w:keepNext w:val="0"/>
        <w:keepLines w:val="0"/>
        <w:pageBreakBefore w:val="0"/>
        <w:widowControl w:val="0"/>
        <w:kinsoku/>
        <w:wordWrap/>
        <w:overflowPunct/>
        <w:topLinePunct w:val="0"/>
        <w:autoSpaceDE/>
        <w:autoSpaceDN/>
        <w:bidi w:val="0"/>
        <w:spacing w:after="0"/>
        <w:ind w:firstLine="468" w:firstLineChars="195"/>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1.本项目采购内容是长寿经开区新材料产业园重大安全风险防控项目—实训基地项目的组成部分，需满足《重庆市应急管理局关于推进化工安全技能实训基地建设的函》文件要求。</w:t>
      </w:r>
      <w:r>
        <w:rPr>
          <w:rFonts w:hint="eastAsia" w:ascii="宋体" w:hAnsi="宋体" w:eastAsia="宋体" w:cs="宋体"/>
          <w:b/>
          <w:bCs/>
          <w:color w:val="auto"/>
          <w:sz w:val="24"/>
          <w:szCs w:val="24"/>
          <w:lang w:val="en-US" w:eastAsia="zh-CN"/>
        </w:rPr>
        <w:t>（投标人需在投标文件中提供承诺函，格式自拟）</w:t>
      </w:r>
    </w:p>
    <w:p w14:paraId="4F9B89A9">
      <w:pPr>
        <w:pStyle w:val="22"/>
        <w:keepNext w:val="0"/>
        <w:keepLines w:val="0"/>
        <w:pageBreakBefore w:val="0"/>
        <w:widowControl w:val="0"/>
        <w:kinsoku/>
        <w:wordWrap/>
        <w:overflowPunct/>
        <w:topLinePunct w:val="0"/>
        <w:autoSpaceDE/>
        <w:autoSpaceDN/>
        <w:bidi w:val="0"/>
        <w:spacing w:after="0"/>
        <w:ind w:firstLine="468" w:firstLineChars="195"/>
        <w:textAlignment w:val="auto"/>
        <w:rPr>
          <w:rFonts w:hint="eastAsia" w:ascii="宋体" w:hAnsi="宋体" w:eastAsia="宋体" w:cs="宋体"/>
          <w:color w:val="auto"/>
          <w:lang w:val="en-US" w:eastAsia="zh-CN"/>
        </w:rPr>
      </w:pPr>
      <w:r>
        <w:rPr>
          <w:rFonts w:hint="eastAsia" w:ascii="宋体" w:hAnsi="宋体" w:eastAsia="宋体" w:cs="宋体"/>
          <w:b w:val="0"/>
          <w:bCs w:val="0"/>
          <w:color w:val="auto"/>
          <w:sz w:val="24"/>
          <w:szCs w:val="24"/>
          <w:lang w:val="en-US" w:eastAsia="zh-CN"/>
        </w:rPr>
        <w:t>2.本项目采购的设备设施实施安装应与长寿经开区新材料产业园重大安全风险防控项目-实训基地建设、运营一体化采购项目进行数据对接，并进行联调联试，同时达到应急管理部《化工安全技能实训基地建设和运营指南》文件的验收标准。</w:t>
      </w:r>
      <w:r>
        <w:rPr>
          <w:rFonts w:hint="eastAsia" w:ascii="宋体" w:hAnsi="宋体" w:eastAsia="宋体" w:cs="宋体"/>
          <w:b/>
          <w:bCs/>
          <w:color w:val="auto"/>
          <w:sz w:val="24"/>
          <w:szCs w:val="24"/>
          <w:lang w:val="en-US" w:eastAsia="zh-CN"/>
        </w:rPr>
        <w:t>（投标人需在投标文件中提供承诺函，格式自拟）</w:t>
      </w:r>
    </w:p>
    <w:p w14:paraId="18F1E6DD">
      <w:pPr>
        <w:pStyle w:val="22"/>
        <w:keepNext w:val="0"/>
        <w:keepLines w:val="0"/>
        <w:pageBreakBefore w:val="0"/>
        <w:widowControl w:val="0"/>
        <w:kinsoku/>
        <w:wordWrap/>
        <w:overflowPunct/>
        <w:topLinePunct w:val="0"/>
        <w:autoSpaceDE/>
        <w:autoSpaceDN/>
        <w:bidi w:val="0"/>
        <w:spacing w:after="0"/>
        <w:ind w:firstLine="468" w:firstLineChars="195"/>
        <w:textAlignment w:val="auto"/>
        <w:rPr>
          <w:rFonts w:hint="eastAsia" w:ascii="宋体" w:hAnsi="宋体" w:eastAsia="宋体" w:cs="宋体"/>
          <w:color w:val="auto"/>
          <w:lang w:val="en-US" w:eastAsia="zh-CN"/>
        </w:rPr>
      </w:pPr>
      <w:r>
        <w:rPr>
          <w:rFonts w:hint="eastAsia" w:ascii="宋体" w:hAnsi="宋体" w:eastAsia="宋体" w:cs="宋体"/>
          <w:b w:val="0"/>
          <w:bCs w:val="0"/>
          <w:color w:val="auto"/>
          <w:sz w:val="24"/>
          <w:szCs w:val="24"/>
          <w:lang w:val="en-US" w:eastAsia="zh-CN"/>
        </w:rPr>
        <w:t>3.本项目采购的设备设施布局应与长寿经开区新材料产业园重大安全风险防控项目-实训基地建设、运营一体化采购项目匹配，配合长寿经开区新材料产业园重大安全风险防控项目—实训基地项目总体验收，并提供全套的过程资料及技术资料。</w:t>
      </w:r>
      <w:r>
        <w:rPr>
          <w:rFonts w:hint="eastAsia" w:ascii="宋体" w:hAnsi="宋体" w:eastAsia="宋体" w:cs="宋体"/>
          <w:b/>
          <w:bCs/>
          <w:color w:val="auto"/>
          <w:sz w:val="24"/>
          <w:szCs w:val="24"/>
          <w:lang w:val="en-US" w:eastAsia="zh-CN"/>
        </w:rPr>
        <w:t>（投标人需在投标文件中提供承诺函，格式自拟）</w:t>
      </w:r>
    </w:p>
    <w:p w14:paraId="61E71363">
      <w:pPr>
        <w:pStyle w:val="22"/>
        <w:keepNext w:val="0"/>
        <w:keepLines w:val="0"/>
        <w:pageBreakBefore w:val="0"/>
        <w:widowControl w:val="0"/>
        <w:kinsoku/>
        <w:wordWrap/>
        <w:overflowPunct/>
        <w:topLinePunct w:val="0"/>
        <w:autoSpaceDE/>
        <w:autoSpaceDN/>
        <w:bidi w:val="0"/>
        <w:spacing w:after="0"/>
        <w:ind w:firstLine="468" w:firstLineChars="195"/>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4.投标人需承诺为本项目提供专业的项目实施团队，团队人员应具备相应的技术能力，能够保障项目顺利实施。</w:t>
      </w:r>
      <w:r>
        <w:rPr>
          <w:rFonts w:hint="eastAsia" w:ascii="宋体" w:hAnsi="宋体" w:eastAsia="宋体" w:cs="宋体"/>
          <w:b/>
          <w:bCs/>
          <w:color w:val="auto"/>
          <w:sz w:val="24"/>
          <w:szCs w:val="24"/>
          <w:lang w:val="en-US" w:eastAsia="zh-CN"/>
        </w:rPr>
        <w:t>（投标人需在投标文件中提供承诺函，格式自拟）</w:t>
      </w:r>
    </w:p>
    <w:p w14:paraId="469AAA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0"/>
        <w:jc w:val="both"/>
        <w:textAlignment w:val="auto"/>
        <w:outlineLvl w:val="1"/>
        <w:rPr>
          <w:rFonts w:hint="eastAsia" w:ascii="宋体" w:hAnsi="宋体" w:eastAsia="宋体" w:cs="宋体"/>
          <w:b/>
          <w:bCs/>
          <w:color w:val="auto"/>
          <w:sz w:val="28"/>
          <w:szCs w:val="36"/>
          <w:lang w:val="en-US" w:eastAsia="zh-CN"/>
        </w:rPr>
      </w:pPr>
      <w:bookmarkStart w:id="211" w:name="_Toc2124"/>
      <w:r>
        <w:rPr>
          <w:rFonts w:hint="eastAsia" w:ascii="宋体" w:hAnsi="宋体" w:eastAsia="宋体" w:cs="宋体"/>
          <w:b/>
          <w:bCs/>
          <w:color w:val="auto"/>
          <w:kern w:val="2"/>
          <w:sz w:val="28"/>
          <w:szCs w:val="36"/>
          <w:lang w:val="en-US" w:eastAsia="zh-CN" w:bidi="ar-SA"/>
        </w:rPr>
        <w:t>三、</w:t>
      </w:r>
      <w:r>
        <w:rPr>
          <w:rFonts w:hint="eastAsia" w:ascii="宋体" w:hAnsi="宋体" w:eastAsia="宋体" w:cs="宋体"/>
          <w:b/>
          <w:bCs/>
          <w:color w:val="auto"/>
          <w:sz w:val="28"/>
          <w:szCs w:val="36"/>
          <w:lang w:val="en-US" w:eastAsia="zh-CN"/>
        </w:rPr>
        <w:t>危险工艺培训设施</w:t>
      </w:r>
      <w:bookmarkEnd w:id="211"/>
    </w:p>
    <w:p w14:paraId="3F1AE50A">
      <w:pPr>
        <w:pStyle w:val="4"/>
        <w:keepNext/>
        <w:keepLines/>
        <w:pageBreakBefore w:val="0"/>
        <w:widowControl w:val="0"/>
        <w:numPr>
          <w:ilvl w:val="1"/>
          <w:numId w:val="0"/>
        </w:numPr>
        <w:kinsoku/>
        <w:wordWrap/>
        <w:overflowPunct/>
        <w:topLinePunct w:val="0"/>
        <w:autoSpaceDE/>
        <w:autoSpaceDN/>
        <w:bidi w:val="0"/>
        <w:adjustRightInd/>
        <w:snapToGrid/>
        <w:spacing w:before="0" w:beforeLines="0" w:after="0" w:line="360" w:lineRule="auto"/>
        <w:jc w:val="left"/>
        <w:textAlignment w:val="auto"/>
        <w:outlineLvl w:val="2"/>
        <w:rPr>
          <w:rFonts w:hint="eastAsia" w:ascii="宋体" w:hAnsi="宋体" w:eastAsia="宋体" w:cs="宋体"/>
          <w:b/>
          <w:bCs w:val="0"/>
          <w:color w:val="auto"/>
          <w:sz w:val="28"/>
          <w:szCs w:val="22"/>
          <w:lang w:val="en-US" w:eastAsia="zh-CN"/>
        </w:rPr>
      </w:pPr>
      <w:bookmarkStart w:id="212" w:name="_Toc20918"/>
      <w:bookmarkStart w:id="213" w:name="_Toc31683"/>
      <w:r>
        <w:rPr>
          <w:rFonts w:hint="eastAsia" w:ascii="宋体" w:hAnsi="宋体" w:eastAsia="宋体" w:cs="宋体"/>
          <w:b/>
          <w:bCs w:val="0"/>
          <w:color w:val="auto"/>
          <w:kern w:val="2"/>
          <w:sz w:val="28"/>
          <w:szCs w:val="22"/>
          <w:lang w:val="en-US" w:eastAsia="zh-CN" w:bidi="ar-SA"/>
        </w:rPr>
        <w:t>（一）</w:t>
      </w:r>
      <w:r>
        <w:rPr>
          <w:rFonts w:hint="eastAsia" w:ascii="宋体" w:hAnsi="宋体" w:eastAsia="宋体" w:cs="宋体"/>
          <w:b/>
          <w:bCs w:val="0"/>
          <w:color w:val="auto"/>
          <w:sz w:val="28"/>
          <w:szCs w:val="22"/>
          <w:lang w:val="en-US" w:eastAsia="zh-CN"/>
        </w:rPr>
        <w:t>光气及光气化工艺作业实操考培装置</w:t>
      </w:r>
      <w:bookmarkEnd w:id="212"/>
      <w:bookmarkEnd w:id="213"/>
    </w:p>
    <w:p w14:paraId="3DD3F4E0">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both"/>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1.1.</w:t>
      </w:r>
      <w:r>
        <w:rPr>
          <w:rFonts w:hint="eastAsia" w:ascii="宋体" w:hAnsi="宋体" w:eastAsia="宋体" w:cs="宋体"/>
          <w:color w:val="auto"/>
          <w:sz w:val="24"/>
          <w:szCs w:val="24"/>
          <w:lang w:val="en-US" w:eastAsia="zh-CN"/>
        </w:rPr>
        <w:t>装置概述</w:t>
      </w:r>
    </w:p>
    <w:p w14:paraId="5D2A00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本系统需基于实际装置的工艺流程、化工过程原理、设备工作原理、质量平衡、能量平衡，应符合《特种作业安全技术实际操作考试标准》要求，具有高仿真精度的数学机理模型。</w:t>
      </w:r>
    </w:p>
    <w:p w14:paraId="0DBD92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系统应满足在校学生、化工企业安全管理人员、特种作业人员、从业人员及安全监察监管人员的职业能力提升和专项技能实训需求，能够开展本工艺的生产工艺流程、工艺危险特点、重点监控的设备单元与工艺指标、安全控制的基本要求及自动控制方式与联锁设置内容的实训与考核工作。</w:t>
      </w:r>
    </w:p>
    <w:p w14:paraId="02DCD7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本系统精简实际生产的化工工艺，保留特定的化工单元，编制开停车培训内容，有助于了解工艺危险特点和重点监控工艺参数设置原理。</w:t>
      </w:r>
    </w:p>
    <w:p w14:paraId="386F42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通过实训与考核，学员应能够全面掌握本工艺的生产流程、安全控制要求、紧急情况处置及应急处理能力，提升其专业技能水平，促进区域企业整体安全素质的提升。</w:t>
      </w:r>
    </w:p>
    <w:p w14:paraId="7192AC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本装置应能够满足以下内容的培训学习与考核：</w:t>
      </w:r>
    </w:p>
    <w:tbl>
      <w:tblPr>
        <w:tblStyle w:val="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1625"/>
        <w:gridCol w:w="2342"/>
        <w:gridCol w:w="4412"/>
      </w:tblGrid>
      <w:tr w14:paraId="2E5E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noWrap w:val="0"/>
            <w:vAlign w:val="center"/>
          </w:tcPr>
          <w:p w14:paraId="58D4BD6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844" w:type="pct"/>
            <w:noWrap w:val="0"/>
            <w:vAlign w:val="center"/>
          </w:tcPr>
          <w:p w14:paraId="006796C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培训类别</w:t>
            </w:r>
          </w:p>
        </w:tc>
        <w:tc>
          <w:tcPr>
            <w:tcW w:w="1216" w:type="pct"/>
            <w:noWrap w:val="0"/>
            <w:vAlign w:val="center"/>
          </w:tcPr>
          <w:p w14:paraId="2894E22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分项内容</w:t>
            </w:r>
          </w:p>
        </w:tc>
        <w:tc>
          <w:tcPr>
            <w:tcW w:w="2291" w:type="pct"/>
            <w:noWrap w:val="0"/>
            <w:vAlign w:val="center"/>
          </w:tcPr>
          <w:p w14:paraId="6D1589A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题目名称</w:t>
            </w:r>
          </w:p>
        </w:tc>
      </w:tr>
      <w:tr w14:paraId="18F34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noWrap w:val="0"/>
            <w:vAlign w:val="center"/>
          </w:tcPr>
          <w:p w14:paraId="5C40485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844" w:type="pct"/>
            <w:vMerge w:val="restart"/>
            <w:noWrap w:val="0"/>
            <w:vAlign w:val="center"/>
          </w:tcPr>
          <w:p w14:paraId="3A9686D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工艺操作与控制</w:t>
            </w:r>
          </w:p>
        </w:tc>
        <w:tc>
          <w:tcPr>
            <w:tcW w:w="1216" w:type="pct"/>
            <w:noWrap w:val="0"/>
            <w:vAlign w:val="center"/>
          </w:tcPr>
          <w:p w14:paraId="1B6006A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装置开停车操作</w:t>
            </w:r>
          </w:p>
        </w:tc>
        <w:tc>
          <w:tcPr>
            <w:tcW w:w="2291" w:type="pct"/>
            <w:noWrap w:val="0"/>
            <w:vAlign w:val="center"/>
          </w:tcPr>
          <w:p w14:paraId="1EEE8EC2">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1.开车前准备工作；</w:t>
            </w:r>
          </w:p>
          <w:p w14:paraId="7B5D7B71">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2.开车操作；</w:t>
            </w:r>
          </w:p>
          <w:p w14:paraId="5BF4F217">
            <w:pPr>
              <w:pStyle w:val="22"/>
              <w:spacing w:line="240" w:lineRule="auto"/>
              <w:ind w:left="0" w:leftChars="0" w:firstLine="0" w:firstLineChars="0"/>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3.停车操作。</w:t>
            </w:r>
          </w:p>
        </w:tc>
      </w:tr>
      <w:tr w14:paraId="76E6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noWrap w:val="0"/>
            <w:vAlign w:val="center"/>
          </w:tcPr>
          <w:p w14:paraId="77F477B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844" w:type="pct"/>
            <w:vMerge w:val="continue"/>
            <w:noWrap w:val="0"/>
            <w:vAlign w:val="center"/>
          </w:tcPr>
          <w:p w14:paraId="02E3E37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514CA26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装置安全隐患排查</w:t>
            </w:r>
          </w:p>
        </w:tc>
        <w:tc>
          <w:tcPr>
            <w:tcW w:w="2291" w:type="pct"/>
            <w:noWrap w:val="0"/>
            <w:vAlign w:val="center"/>
          </w:tcPr>
          <w:p w14:paraId="7DA43264">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1.光气化主反应器飞温；</w:t>
            </w:r>
          </w:p>
          <w:p w14:paraId="4495DE12">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2.洁净反应器压力高；</w:t>
            </w:r>
          </w:p>
          <w:p w14:paraId="224915A9">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3.氯气供料停止。</w:t>
            </w:r>
          </w:p>
        </w:tc>
      </w:tr>
      <w:tr w14:paraId="73F4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noWrap w:val="0"/>
            <w:vAlign w:val="center"/>
          </w:tcPr>
          <w:p w14:paraId="5ABDAF6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844" w:type="pct"/>
            <w:vMerge w:val="continue"/>
            <w:noWrap w:val="0"/>
            <w:vAlign w:val="center"/>
          </w:tcPr>
          <w:p w14:paraId="0CF5E7C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2ECE30D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装置安全应急处置</w:t>
            </w:r>
          </w:p>
        </w:tc>
        <w:tc>
          <w:tcPr>
            <w:tcW w:w="2291" w:type="pct"/>
            <w:noWrap w:val="0"/>
            <w:vAlign w:val="center"/>
          </w:tcPr>
          <w:p w14:paraId="56C3AEA3">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1.氯气进料调节阀法兰泄漏有人中毒应急预案；</w:t>
            </w:r>
          </w:p>
          <w:p w14:paraId="5E3D3FA0">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2.冷却器管程进口法兰泄露应急预案；</w:t>
            </w:r>
          </w:p>
          <w:p w14:paraId="43168756">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3.主反应器顶部出口法兰泄露着火应急预案。</w:t>
            </w:r>
          </w:p>
        </w:tc>
      </w:tr>
      <w:tr w14:paraId="79749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noWrap w:val="0"/>
            <w:vAlign w:val="center"/>
          </w:tcPr>
          <w:p w14:paraId="7E012AB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844" w:type="pct"/>
            <w:vMerge w:val="restart"/>
            <w:noWrap w:val="0"/>
            <w:vAlign w:val="center"/>
          </w:tcPr>
          <w:p w14:paraId="7E9BCE6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工艺安全技术实操培训与考试</w:t>
            </w:r>
          </w:p>
        </w:tc>
        <w:tc>
          <w:tcPr>
            <w:tcW w:w="1216" w:type="pct"/>
            <w:noWrap w:val="0"/>
            <w:vAlign w:val="center"/>
          </w:tcPr>
          <w:p w14:paraId="3903B8D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作业现场安全隐患排查</w:t>
            </w:r>
          </w:p>
        </w:tc>
        <w:tc>
          <w:tcPr>
            <w:tcW w:w="2291" w:type="pct"/>
            <w:noWrap w:val="0"/>
            <w:vAlign w:val="center"/>
          </w:tcPr>
          <w:p w14:paraId="1DC6801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02C5A4F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原料泵入口管线堵；</w:t>
            </w:r>
          </w:p>
          <w:p w14:paraId="41379A4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原料泵抽空；</w:t>
            </w:r>
          </w:p>
          <w:p w14:paraId="50BAB52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停电事故；</w:t>
            </w:r>
          </w:p>
          <w:p w14:paraId="6B29D36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原料泵坏；</w:t>
            </w:r>
          </w:p>
          <w:p w14:paraId="5F3169E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出料流量控制阀阀卡。</w:t>
            </w:r>
          </w:p>
          <w:p w14:paraId="1F3F167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0925E7E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换热器结垢；</w:t>
            </w:r>
          </w:p>
          <w:p w14:paraId="4FAA533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装置停电；</w:t>
            </w:r>
          </w:p>
          <w:p w14:paraId="7CBA8C2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装置冷物料中断事故；</w:t>
            </w:r>
          </w:p>
          <w:p w14:paraId="27B6797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冷物流泵坏；</w:t>
            </w:r>
          </w:p>
          <w:p w14:paraId="69CB498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热物流泵坏。</w:t>
            </w:r>
          </w:p>
          <w:p w14:paraId="2BC5051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3.离心压缩机：</w:t>
            </w:r>
          </w:p>
          <w:p w14:paraId="3DB648E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17FCFF9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冷却水中断；</w:t>
            </w:r>
          </w:p>
          <w:p w14:paraId="2A3651A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润滑油压力低低；</w:t>
            </w:r>
          </w:p>
          <w:p w14:paraId="784531E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复水器液位高。</w:t>
            </w:r>
          </w:p>
          <w:p w14:paraId="40C751B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4.精馏塔：</w:t>
            </w:r>
          </w:p>
          <w:p w14:paraId="7870EB7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冷却水供应不足事故；</w:t>
            </w:r>
          </w:p>
          <w:p w14:paraId="0A0ED23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4A6013F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原料中断事故；</w:t>
            </w:r>
          </w:p>
          <w:p w14:paraId="56A440C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停蒸汽；</w:t>
            </w:r>
          </w:p>
          <w:p w14:paraId="28D16AC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回流中断。</w:t>
            </w:r>
          </w:p>
          <w:p w14:paraId="1F8D02A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5.釜式反应器：</w:t>
            </w:r>
          </w:p>
          <w:p w14:paraId="4524705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3C0CC4E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kern w:val="2"/>
                <w:sz w:val="21"/>
                <w:szCs w:val="21"/>
                <w:lang w:val="en-US" w:eastAsia="zh-CN" w:bidi="ar-SA"/>
              </w:rPr>
              <w:t>原料中断。</w:t>
            </w:r>
          </w:p>
        </w:tc>
      </w:tr>
      <w:tr w14:paraId="490F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noWrap w:val="0"/>
            <w:vAlign w:val="center"/>
          </w:tcPr>
          <w:p w14:paraId="2E55013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844" w:type="pct"/>
            <w:vMerge w:val="continue"/>
            <w:noWrap w:val="0"/>
            <w:vAlign w:val="center"/>
          </w:tcPr>
          <w:p w14:paraId="586F8DE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2286A0A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作业现场应急处置</w:t>
            </w:r>
          </w:p>
        </w:tc>
        <w:tc>
          <w:tcPr>
            <w:tcW w:w="2291" w:type="pct"/>
            <w:noWrap w:val="0"/>
            <w:vAlign w:val="center"/>
          </w:tcPr>
          <w:p w14:paraId="0639E74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0A81720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离心泵机械密封泄露着火应急预案；</w:t>
            </w:r>
          </w:p>
          <w:p w14:paraId="6C42745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离心泵出口法兰泄露有人中毒应急预案；</w:t>
            </w:r>
          </w:p>
          <w:p w14:paraId="65564AE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出料流量控制阀前法兰泄露着火应急预案；</w:t>
            </w:r>
          </w:p>
          <w:p w14:paraId="2C6EE9F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泵出口法兰泄露着火应急预案。</w:t>
            </w:r>
          </w:p>
          <w:p w14:paraId="1067DDD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7E58A2A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冷物料泵出口法兰泄露着火事故应急预案；</w:t>
            </w:r>
          </w:p>
          <w:p w14:paraId="22497B4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换热器热物料出口法兰泄露着火事故应急预案；</w:t>
            </w:r>
          </w:p>
          <w:p w14:paraId="13E936C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换热器热物料出口法兰有人中毒应急预案。</w:t>
            </w:r>
          </w:p>
          <w:p w14:paraId="358F285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3.离心压缩机：</w:t>
            </w:r>
          </w:p>
          <w:p w14:paraId="25ECD6C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压缩机出口法兰泄漏爆炸着火；</w:t>
            </w:r>
          </w:p>
          <w:p w14:paraId="2574CC1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压缩机级间法兰泄漏着火；</w:t>
            </w:r>
          </w:p>
          <w:p w14:paraId="71E2F4F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压缩机动力蒸汽泄漏。</w:t>
            </w:r>
          </w:p>
          <w:p w14:paraId="2F01E30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4.精馏塔：</w:t>
            </w:r>
          </w:p>
          <w:p w14:paraId="4C6D260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回流罐切水阀法兰泄漏着火应急预案；</w:t>
            </w:r>
          </w:p>
          <w:p w14:paraId="72E3E86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机械密封泄漏着火应急预案；</w:t>
            </w:r>
          </w:p>
          <w:p w14:paraId="623C1BD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塔釜出口法兰泄漏应急预案。</w:t>
            </w:r>
          </w:p>
          <w:p w14:paraId="203BC78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5.釜式反应器：</w:t>
            </w:r>
          </w:p>
          <w:p w14:paraId="349359F6">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进料阀法兰泄漏着火；</w:t>
            </w:r>
          </w:p>
          <w:p w14:paraId="7D13D5D3">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己烷进料泵机械密封泄漏着火；</w:t>
            </w:r>
          </w:p>
          <w:p w14:paraId="0E0BEFD2">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第一反应器乙烯进料调节阀法兰泄漏有人中毒。</w:t>
            </w:r>
          </w:p>
        </w:tc>
      </w:tr>
    </w:tbl>
    <w:p w14:paraId="5768A493">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1.2.</w:t>
      </w:r>
      <w:r>
        <w:rPr>
          <w:rFonts w:hint="eastAsia" w:ascii="宋体" w:hAnsi="宋体" w:eastAsia="宋体" w:cs="宋体"/>
          <w:color w:val="auto"/>
          <w:sz w:val="24"/>
          <w:szCs w:val="24"/>
          <w:lang w:val="en-US" w:eastAsia="zh-CN"/>
        </w:rPr>
        <w:t>装置设计要求</w:t>
      </w:r>
    </w:p>
    <w:p w14:paraId="34271D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①系统可以展示工艺报警联锁指标一览表、报警和联锁动作。</w:t>
      </w:r>
    </w:p>
    <w:p w14:paraId="5F6DF4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智能仪表设计要求：仿真模拟智能仪表包括流量显示仪表、温度显示仪表、压力显示仪表、液位计和分析仪表。可以实现仿真模拟运行参数的远传与显示，并可与通讯模块、控制系统、现场执行机构构成完整的控制回路，实现多参数、多策略的过程控制。</w:t>
      </w:r>
    </w:p>
    <w:p w14:paraId="519CEC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③紧急停车系统要求：重要监控指标与模拟SIS控制系统相结合，实现关键设备的联锁保护、紧急停车。</w:t>
      </w:r>
    </w:p>
    <w:p w14:paraId="7538DCD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执行机构及现场阀门设计要求：装置执行机构、现场阀门可以和控制系统进行通讯。执行机构与阀门的操作与实际一致，模拟采集型号多样，如开关阀、切断阀采用开关量信号，调节阀、开度阀采用模拟量信号。</w:t>
      </w:r>
    </w:p>
    <w:p w14:paraId="7D4F71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⑤动设备设计要求：动设备的外购与真实的设备一致，现场控制时采用防爆接线盒，控制系统可以监控运行状态。</w:t>
      </w:r>
    </w:p>
    <w:p w14:paraId="308AED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⑥事故模拟系统设计要求：装置能通过声、光、电、烟雾手段，展现事故触发时的现场状态，各种事故模拟设施隐蔽设置。</w:t>
      </w:r>
    </w:p>
    <w:p w14:paraId="3D2F72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⑦警戒隔离系统：设置警戒隔离系统，用于设备警戒隔离。同样，警戒隔离系统可以用于事故模拟时的现场封锁，可以与考核系统建立通讯并识别操作动作。</w:t>
      </w:r>
    </w:p>
    <w:p w14:paraId="2CA914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⑧可实现实操培训与考核全过程的智能化，即场景的自动设置与调整、人员实操行为的自动检测与智能评判、实操培训与考核的全程无人值守、培训软硬件设施的一体化集中管控、培训数据的自动分析与实时查询。</w:t>
      </w:r>
    </w:p>
    <w:p w14:paraId="3F78B7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⑨自动评分系统设计：危化工艺考评系统包括硬件和软件两部分组成，硬件包括数据采集模块、控制模块、电源模块、通讯转换器组成，软件部分由定制考核软件组成，系统通过软件与现场控制站模块通讯采集数据、控制运算、控制输出，实现数据交互，根据危化工艺操作步骤，将现场操作数据传送至软件之后，实现危化工艺操作的记录与考核。全程无需人工干预，客观公正，教考分离。</w:t>
      </w:r>
    </w:p>
    <w:p w14:paraId="52EE970A">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1.3.</w:t>
      </w:r>
      <w:r>
        <w:rPr>
          <w:rFonts w:hint="eastAsia" w:ascii="宋体" w:hAnsi="宋体" w:eastAsia="宋体" w:cs="宋体"/>
          <w:color w:val="auto"/>
          <w:sz w:val="24"/>
          <w:szCs w:val="24"/>
          <w:lang w:val="en-US" w:eastAsia="zh-CN"/>
        </w:rPr>
        <w:t>工艺简介</w:t>
      </w:r>
    </w:p>
    <w:p w14:paraId="418790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光气及光气化工艺包含光气的制备工艺，以及以光气为原料制备光气化产品的工艺路线，光气化工艺主要分为气相和液相两种。光气及光气化一般为放热反应，重点监控单元包含光气化反应釜、光气储运单元。</w:t>
      </w:r>
    </w:p>
    <w:p w14:paraId="1BE2C1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工艺危险特点：光气为剧毒气体，在储运、使用过程中发生泄漏后，易造成大面积污染、中毒事故；反应介质具有燃爆危险性；副产物氯化氢具有腐蚀性，易造成设备和管线泄漏使人员发生中毒事故。</w:t>
      </w:r>
    </w:p>
    <w:p w14:paraId="3CCD7D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本装置工艺：</w:t>
      </w:r>
    </w:p>
    <w:p w14:paraId="2F8B51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一氧化碳干燥器来的一氧化碳和液氯供液槽来的氯气按一定比例在进料混合器混合。 混合气进入光气合成器顶部。 光气合成器为管壳式，管内装椰壳活性炭做合成催化剂。壳程通导热油做冷却剂，热导热油通过。 光气合成器出来的反应气进入清净反应器。 正常情况下氯在光气合成器全部反应掉。 清净反应器只是起一个保险作用， 保证氯全部反应掉。 清净反应器出来的光气送后续光气化工艺。</w:t>
      </w:r>
    </w:p>
    <w:p w14:paraId="2BF076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光气热氮系统由氮气加热器组成。 热氮用于停车时吹扫光气合成工艺设备和管道。 吹扫光气合成工艺设备和管道分段进行。 吹扫废气送废光气碱洗塔处理。 分析废气中光气浓度低于设定值后吹扫结束。</w:t>
      </w:r>
    </w:p>
    <w:p w14:paraId="0519EA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光气化反应器尾气经碱液破氯后去火炬高空排放。</w:t>
      </w:r>
    </w:p>
    <w:p w14:paraId="6CFA8021">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1.4.</w:t>
      </w:r>
      <w:r>
        <w:rPr>
          <w:rFonts w:hint="eastAsia" w:ascii="宋体" w:hAnsi="宋体" w:eastAsia="宋体" w:cs="宋体"/>
          <w:color w:val="auto"/>
          <w:sz w:val="24"/>
          <w:szCs w:val="24"/>
          <w:lang w:val="en-US" w:eastAsia="zh-CN"/>
        </w:rPr>
        <w:t>安全控制要求</w:t>
      </w:r>
    </w:p>
    <w:p w14:paraId="2C1B24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事故紧急切断阀；紧急冷却系统；反应温度、压力报警联锁；局部排风设施；有毒气体回收及处理系统；自动泄压装置；自动氨或碱液喷淋装置；光气、氯气、一氧化碳监测及超限报警；双电源供电。</w:t>
      </w:r>
    </w:p>
    <w:p w14:paraId="1023FC8B">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1.5.</w:t>
      </w:r>
      <w:r>
        <w:rPr>
          <w:rFonts w:hint="eastAsia" w:ascii="宋体" w:hAnsi="宋体" w:eastAsia="宋体" w:cs="宋体"/>
          <w:color w:val="auto"/>
          <w:sz w:val="24"/>
          <w:szCs w:val="24"/>
          <w:lang w:val="en-US" w:eastAsia="zh-CN"/>
        </w:rPr>
        <w:t>采用的控制方式</w:t>
      </w:r>
    </w:p>
    <w:p w14:paraId="22D39D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光气及光气化生产系统一旦出现异常现象或发生光气及其剧毒产品泄漏事故时，应通过自控联锁装置启动紧急停车并自动切断所有进出生产装置的物料，将反应装置迅速冷却降温，同时将发生事故设备内的剧毒物料倒入事故槽内，开启氨水、稀碱液喷淋，启动通风排毒系统，将事故部位的有毒气体排至处理系统。</w:t>
      </w:r>
    </w:p>
    <w:p w14:paraId="715AED29">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1.6.</w:t>
      </w:r>
      <w:r>
        <w:rPr>
          <w:rFonts w:hint="eastAsia" w:ascii="宋体" w:hAnsi="宋体" w:eastAsia="宋体" w:cs="宋体"/>
          <w:color w:val="auto"/>
          <w:sz w:val="24"/>
          <w:szCs w:val="24"/>
          <w:lang w:val="en-US" w:eastAsia="zh-CN"/>
        </w:rPr>
        <w:t>重点监控工艺参数</w:t>
      </w:r>
    </w:p>
    <w:p w14:paraId="088358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一氧化碳、氯气含水量；反应釜温度、压力；反应物质的配料比；光气进料速度；冷却系统中冷却介质的温度、压力、流量。</w:t>
      </w:r>
    </w:p>
    <w:p w14:paraId="20294A02">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1.7.</w:t>
      </w:r>
      <w:r>
        <w:rPr>
          <w:rFonts w:hint="eastAsia" w:ascii="宋体" w:hAnsi="宋体" w:eastAsia="宋体" w:cs="宋体"/>
          <w:color w:val="auto"/>
          <w:sz w:val="24"/>
          <w:szCs w:val="24"/>
          <w:lang w:val="en-US" w:eastAsia="zh-CN"/>
        </w:rPr>
        <w:t>危化工艺安全考核软件要求</w:t>
      </w:r>
    </w:p>
    <w:p w14:paraId="2AD0A4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该软件应结合《安监总宣教〔2014〕139号国家安全监管总局关于印发特种作业安全技术实际操作考试标准及考试点设备配备标准（试行）的通知》的标准设计开发，能够用于危化生产从业人员培训和考试的考培系统，软件涉及的工艺流程、科目3（作业现场安全隐患排除，简称K3）和科目4（作业现场应急处置，简称K4）考试内容、考试评分标准内容需结合《特种作业安全技术实际操作考试标准（试行）》的标准来设计开发。</w:t>
      </w:r>
    </w:p>
    <w:p w14:paraId="3D4F7B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软件应包含但不限于以下功能：</w:t>
      </w:r>
    </w:p>
    <w:p w14:paraId="2D6E41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①操作软件采用DCS模拟仿真技术，以DCS组态界面的形式呈现工艺与场景的操作流程。</w:t>
      </w:r>
    </w:p>
    <w:p w14:paraId="2C1ED7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②作业现场安全隐患排除包括停电、停蒸汽、停冷却水、物料中断、泵坏、阀卡常见的工艺事故，作业现场应急处置包括着火、泄漏、中毒典型的安全事故。</w:t>
      </w:r>
    </w:p>
    <w:p w14:paraId="75BCB9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③系统后台运行动态的模拟数据，并配有相应的智能评分系统，对学员的操作进行智能判断并给出成绩。</w:t>
      </w:r>
    </w:p>
    <w:p w14:paraId="6F06E5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作业现场应急处置操作过程中设有班长、内操、外操、安全员多种不同的角色；人物角色具有装备穿戴选择和工具选择功能；角色之间具备对话交流情节功能；软件具有事故应急预案广播通知功能；在组态界面中可实现警戒线设置、消防车引导、救护车引导、灭火器使用、消防水炮启用。</w:t>
      </w:r>
    </w:p>
    <w:p w14:paraId="700671AE">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1.8.</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主要参数</w:t>
      </w:r>
    </w:p>
    <w:tbl>
      <w:tblPr>
        <w:tblStyle w:val="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2"/>
        <w:gridCol w:w="1433"/>
        <w:gridCol w:w="5946"/>
        <w:gridCol w:w="724"/>
        <w:gridCol w:w="793"/>
      </w:tblGrid>
      <w:tr w14:paraId="0D768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62F1FF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263702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名称</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FC9074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规格型号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3DB9DA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数量</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2D073A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单位</w:t>
            </w:r>
          </w:p>
        </w:tc>
      </w:tr>
      <w:tr w14:paraId="6C98F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43957F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bCs/>
                <w:i w:val="0"/>
                <w:iCs w:val="0"/>
                <w:color w:val="auto"/>
                <w:kern w:val="0"/>
                <w:sz w:val="21"/>
                <w:szCs w:val="21"/>
                <w:highlight w:val="none"/>
                <w:u w:val="none"/>
                <w:lang w:val="en-US" w:eastAsia="zh-CN" w:bidi="ar"/>
              </w:rPr>
              <w:t>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BD38F0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框架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12DEA7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kern w:val="0"/>
                <w:sz w:val="21"/>
                <w:szCs w:val="21"/>
                <w:highlight w:val="none"/>
                <w:lang w:bidi="ar"/>
              </w:rPr>
              <w:t>框架尺寸长×宽×高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3250</w:t>
            </w:r>
            <w:r>
              <w:rPr>
                <w:rFonts w:hint="eastAsia" w:ascii="宋体" w:hAnsi="宋体" w:eastAsia="宋体" w:cs="宋体"/>
                <w:color w:val="auto"/>
                <w:kern w:val="0"/>
                <w:sz w:val="21"/>
                <w:szCs w:val="21"/>
                <w:highlight w:val="none"/>
                <w:lang w:bidi="ar"/>
              </w:rPr>
              <w:t>mm，</w:t>
            </w:r>
            <w:r>
              <w:rPr>
                <w:rFonts w:hint="eastAsia" w:ascii="宋体" w:hAnsi="宋体" w:eastAsia="宋体" w:cs="宋体"/>
                <w:color w:val="auto"/>
                <w:kern w:val="0"/>
                <w:sz w:val="21"/>
                <w:szCs w:val="21"/>
                <w:highlight w:val="none"/>
                <w:lang w:eastAsia="zh-CN" w:bidi="ar"/>
              </w:rPr>
              <w:t>设备尺寸</w:t>
            </w:r>
            <w:r>
              <w:rPr>
                <w:rFonts w:hint="eastAsia" w:ascii="宋体" w:hAnsi="宋体" w:eastAsia="宋体" w:cs="宋体"/>
                <w:color w:val="auto"/>
                <w:kern w:val="0"/>
                <w:sz w:val="21"/>
                <w:szCs w:val="21"/>
                <w:highlight w:val="none"/>
                <w:lang w:bidi="ar"/>
              </w:rPr>
              <w:t>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3570</w:t>
            </w:r>
            <w:r>
              <w:rPr>
                <w:rFonts w:hint="eastAsia" w:ascii="宋体" w:hAnsi="宋体" w:eastAsia="宋体" w:cs="宋体"/>
                <w:color w:val="auto"/>
                <w:kern w:val="0"/>
                <w:sz w:val="21"/>
                <w:szCs w:val="21"/>
                <w:highlight w:val="none"/>
                <w:lang w:bidi="ar"/>
              </w:rPr>
              <w:t>mm。此设备框架立柱型材规格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150*150*7*10mmH型钢。框架为钢结构二层平台带楼梯，一层方便人员进入操作；二层平台主梁型材规格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150*150*7*10mmH型钢，次梁型材规格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100*50*4mm冷弯型钢、</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60*40*4mm冷弯型钢及5#等边角铁。平台铺板型号规格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3mm（含扁豆纹高度）热轧花纹钢板。护栏型材规格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40*40*2mm冷弯型钢，护栏踢脚板型材规格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100*3mm扁钢。楼梯型材规格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180*50*20*3mmC型钢，楼梯踏板</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700*250*4mm（含扁豆纹高度）热轧花纹钢板折弯件。</w:t>
            </w:r>
            <w:r>
              <w:rPr>
                <w:rFonts w:hint="eastAsia" w:ascii="宋体" w:hAnsi="宋体" w:eastAsia="宋体" w:cs="宋体"/>
                <w:i w:val="0"/>
                <w:iCs w:val="0"/>
                <w:color w:val="auto"/>
                <w:kern w:val="0"/>
                <w:sz w:val="21"/>
                <w:szCs w:val="21"/>
                <w:highlight w:val="none"/>
                <w:u w:val="none"/>
                <w:lang w:val="en-US" w:eastAsia="zh-CN" w:bidi="ar"/>
              </w:rPr>
              <w:t>两层设计，带步梯和栏杆。</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D6DC71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0DFE4A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389B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4B1270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i w:val="0"/>
                <w:iCs w:val="0"/>
                <w:color w:val="auto"/>
                <w:kern w:val="0"/>
                <w:sz w:val="21"/>
                <w:szCs w:val="21"/>
                <w:highlight w:val="none"/>
                <w:u w:val="none"/>
                <w:lang w:val="en-US" w:eastAsia="zh-CN" w:bidi="ar"/>
              </w:rPr>
              <w:t>2</w:t>
            </w:r>
          </w:p>
        </w:tc>
        <w:tc>
          <w:tcPr>
            <w:tcW w:w="743" w:type="pct"/>
            <w:tcBorders>
              <w:top w:val="single" w:color="000000" w:sz="4" w:space="0"/>
              <w:left w:val="single" w:color="000000" w:sz="4" w:space="0"/>
              <w:bottom w:val="single" w:color="000000" w:sz="4" w:space="0"/>
              <w:right w:val="single" w:color="000000" w:sz="4" w:space="0"/>
            </w:tcBorders>
            <w:noWrap/>
            <w:vAlign w:val="bottom"/>
          </w:tcPr>
          <w:p w14:paraId="29A45E6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光气化主反应器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BB92E8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≥φ450*1200mm，立式反应器，304不锈钢镜面。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D96B73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056861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03AE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290CE76">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979863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导热油冷却器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D5BB30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≥φ219*1000mm，列管式反应器，304不锈钢镜面。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38A63C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39DD9C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36B8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C8A354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B74230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洁净反应器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716730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≥φ219*1000mm，立式，304不锈钢镜面。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F0C965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311B9B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CEA9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B1D570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76038F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尾气吸收塔</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15C040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≥φ325*3200mm，立式，304不锈钢镜面。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9EEDEA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406F94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3697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9B338E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844377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吸收塔冷却器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06971A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≥φ219*1000mm，列管换热器，304不锈钢镜面。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FD4121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1B41E7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3A63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24CB64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307167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氮气加热器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7B7F77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≥φ219*1000mm，列管换热器，304不锈钢镜面。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419210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0F06A2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69D96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7143A9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17AA46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管道混合器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283DB7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模拟工业管道式混合器DN50。</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ECDC6A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AF1B2F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666CA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E5BB03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E66A67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导热油循环泵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5406AF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D12DE8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4F8341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5F72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F9737B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4EDE5F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吸收塔循环泵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0002EB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A394FD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321839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8178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E87FB46">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8BC864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温度计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8596DA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仿真温度计，4—20mA信号输入，液晶显示。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DEB7AF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E9D0D1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3402E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1D9116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3E303F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压力表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0A6AB3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仿真压力表，4—20mA信号输入，液晶显示数值或指针压力表，指针可动。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11F788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49EF7E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225BE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D43B3F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41214C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流量计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A8FDE0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仿真流量计，4—20mA信号输入，液晶显示数值。</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59646A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94497D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2D436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A33618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DD2DA4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液位计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8560C2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仿真液位计，4—20mA信号输入。</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313560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E2FD63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DBD2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6823269">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DF34BF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手动阀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DF9B72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仿真球阀和截止阀，开关量现场显示和远传。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2B0194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F7525B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330C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A4044A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82FEFA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87BB66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自动调节阀和电磁阀，其中调节阀开度值现场显示和远传，电磁阀远传显示。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3912F5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15AB7D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9209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5F9EFE8">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0174E1C">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报警器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E762A63">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模拟现场可燃气体报警和有毒气体报警，声光显示。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407F0B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15E07D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21110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E1B126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0330D26">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报警灯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8DDAC4A">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119报警灯，用于事故的警示、紧急救援的预警，声光报警。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B57514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825483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FF04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1F9171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8532B0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泄漏模拟系统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E97B6C8">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rPr>
              <w:t>模拟泄漏事故现象，配合考核系统完成泄漏事故操作。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B7FA4A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2D1666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5EB4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6E2B3C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427EEC0">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着火模拟系统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B490F20">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模拟着火事故现象，配合考核系统完成着火事故操作。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9FF53E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E5B833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547E0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89DBC1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50D700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灭火模拟系统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163D4D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模拟灭火器的</w:t>
            </w:r>
            <w:r>
              <w:rPr>
                <w:rFonts w:hint="eastAsia" w:ascii="宋体" w:hAnsi="宋体" w:eastAsia="宋体" w:cs="宋体"/>
                <w:color w:val="auto"/>
                <w:kern w:val="0"/>
                <w:sz w:val="21"/>
                <w:szCs w:val="21"/>
                <w:highlight w:val="none"/>
                <w:lang w:eastAsia="zh-CN"/>
              </w:rPr>
              <w:t>使用</w:t>
            </w:r>
            <w:r>
              <w:rPr>
                <w:rFonts w:hint="eastAsia" w:ascii="宋体" w:hAnsi="宋体" w:eastAsia="宋体" w:cs="宋体"/>
                <w:color w:val="auto"/>
                <w:kern w:val="0"/>
                <w:sz w:val="21"/>
                <w:szCs w:val="21"/>
                <w:highlight w:val="none"/>
              </w:rPr>
              <w:t>，配合考核系统完成相应事故操作。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B6D116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5DDBA1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02529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949CA8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DECAE37">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警戒隔离模拟系统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326261D">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模拟设置警戒隔离区域，配合考核系统完成相应事故操作。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2C4A88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08178A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6EC8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00BDD39">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63877ED">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模拟接地系统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5D554BE">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静电接地线、静电跨接带。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3FE8EA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6AA815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0E3F5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5B662F8">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7C80DA6">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模拟静电消除</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46F7816">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静电释放器。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F79AC7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8DF53E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27E26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09FCD4A">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0B129B7">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行为智能检测</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8FE64F8">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人员实操行为的自动检测与智能评判，配套智能摄像头与智能评判软件。</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FE82C9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336163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C5EE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1DDFDA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700B775">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集中管控系统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B110B6B">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电气系统一键开关，配套空开与管控系统。</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C77D7E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757237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3E38A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5650CA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FCC82D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其他阀门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8E558C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与设备、工艺、管线配套。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2F396B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06A812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182AB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C2BFE2A">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12B426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紧固件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001063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与法兰，阀门，框架、支架配合；螺栓和垫片的材质与本工艺的设备、管件以及涉及的物料相匹配。</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088D8B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920FBC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D15F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8E10EF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625C9F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智能仪表电器控制柜</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1B8A8F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供电电压220V。智能仪表电器控制台：钢制喷塑材质，内安装有配电盘、旋钮式强电开关控制、分相电压表、急停按钮</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配电盘上安装有漏电保护器、24V开关电源，接触器，固态继电器，AO模块、AI模块、DO模块、DI模块，信号线均采用屏蔽线，电源线均采用国标阻燃线，电线通过工业级喷塑桥架（或镀锌桥架）与现场装置、仪表连接，强电弱电分离，杜绝信号干扰。</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10FB5C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E4BF8F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r>
      <w:tr w14:paraId="29191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542337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6A2559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智能考试终端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8E26FA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u w:val="none"/>
                <w:lang w:bidi="ar"/>
              </w:rPr>
              <w:t>CPU：</w:t>
            </w:r>
            <w:r>
              <w:rPr>
                <w:rFonts w:hint="eastAsia" w:ascii="宋体" w:hAnsi="宋体" w:eastAsia="宋体" w:cs="宋体"/>
                <w:b w:val="0"/>
                <w:bCs w:val="0"/>
                <w:color w:val="auto"/>
                <w:kern w:val="0"/>
                <w:sz w:val="21"/>
                <w:szCs w:val="21"/>
                <w:highlight w:val="none"/>
                <w:u w:val="none"/>
                <w:lang w:val="en-US" w:eastAsia="zh-CN" w:bidi="ar"/>
              </w:rPr>
              <w:t>核心≥6，线程≥12，智能缓存≥18MB</w:t>
            </w:r>
            <w:r>
              <w:rPr>
                <w:rFonts w:hint="eastAsia" w:ascii="宋体" w:hAnsi="宋体" w:eastAsia="宋体" w:cs="宋体"/>
                <w:b w:val="0"/>
                <w:bCs w:val="0"/>
                <w:color w:val="auto"/>
                <w:kern w:val="0"/>
                <w:sz w:val="21"/>
                <w:szCs w:val="21"/>
                <w:highlight w:val="none"/>
                <w:u w:val="none"/>
                <w:lang w:bidi="ar"/>
              </w:rPr>
              <w:t xml:space="preserve">；内存：4GB；独显：≥2G；硬盘：≥128G固态硬盘。 </w:t>
            </w:r>
          </w:p>
          <w:p w14:paraId="0502D89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u w:val="none"/>
                <w:lang w:bidi="ar"/>
              </w:rPr>
              <w:t>≥</w:t>
            </w:r>
            <w:r>
              <w:rPr>
                <w:rFonts w:hint="eastAsia" w:ascii="宋体" w:hAnsi="宋体" w:eastAsia="宋体" w:cs="宋体"/>
                <w:i w:val="0"/>
                <w:iCs w:val="0"/>
                <w:color w:val="auto"/>
                <w:kern w:val="0"/>
                <w:sz w:val="21"/>
                <w:szCs w:val="21"/>
                <w:highlight w:val="none"/>
                <w:u w:val="none"/>
                <w:lang w:val="en-US" w:eastAsia="zh-CN" w:bidi="ar"/>
              </w:rPr>
              <w:t>21.5 英寸WLED液晶显示器/串口，配无线网卡、键鼠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65F3E2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B6B1FF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3BC6D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176ADC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8CB9C0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软件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05466F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满足</w:t>
            </w:r>
            <w:r>
              <w:rPr>
                <w:rFonts w:hint="eastAsia" w:ascii="宋体" w:hAnsi="宋体" w:eastAsia="宋体" w:cs="宋体"/>
                <w:b w:val="0"/>
                <w:bCs w:val="0"/>
                <w:color w:val="auto"/>
                <w:kern w:val="0"/>
                <w:sz w:val="21"/>
                <w:szCs w:val="21"/>
                <w:highlight w:val="none"/>
                <w:u w:val="none"/>
                <w:lang w:val="en-US" w:eastAsia="zh-CN" w:bidi="ar"/>
              </w:rPr>
              <w:t>《安监总宣教〔2014〕139号国家安全监管总局关于印发特种作业安全技术实际操作考试标准及考试点设备配备标准（试行）的通知》</w:t>
            </w:r>
            <w:r>
              <w:rPr>
                <w:rFonts w:hint="eastAsia" w:ascii="宋体" w:hAnsi="宋体" w:cs="宋体"/>
                <w:b w:val="0"/>
                <w:bCs w:val="0"/>
                <w:color w:val="auto"/>
                <w:kern w:val="0"/>
                <w:sz w:val="21"/>
                <w:szCs w:val="21"/>
                <w:highlight w:val="none"/>
                <w:u w:val="none"/>
                <w:lang w:val="en-US" w:eastAsia="zh-CN" w:bidi="ar"/>
              </w:rPr>
              <w:t>的培训考核项目要求</w:t>
            </w:r>
            <w:r>
              <w:rPr>
                <w:rFonts w:hint="eastAsia" w:ascii="宋体" w:hAnsi="宋体" w:eastAsia="宋体" w:cs="宋体"/>
                <w:i w:val="0"/>
                <w:iCs w:val="0"/>
                <w:color w:val="auto"/>
                <w:kern w:val="0"/>
                <w:sz w:val="21"/>
                <w:szCs w:val="21"/>
                <w:highlight w:val="none"/>
                <w:u w:val="none"/>
                <w:lang w:val="en-US" w:eastAsia="zh-CN" w:bidi="ar"/>
              </w:rPr>
              <w:t>，支撑考核设备具备随机模拟产生各作业工艺操作过程中相应的紧急情况，实现紧急处置操作考核的功能；具备网络自动出题、考核结束设备智能判分的功能。</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FE0997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6AA06F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bl>
    <w:p w14:paraId="618DD831">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val="0"/>
          <w:color w:val="auto"/>
          <w:sz w:val="24"/>
          <w:szCs w:val="24"/>
          <w:lang w:val="en-US" w:eastAsia="zh-CN"/>
        </w:rPr>
      </w:pPr>
    </w:p>
    <w:p w14:paraId="4A1BD720">
      <w:pPr>
        <w:pStyle w:val="4"/>
        <w:keepNext/>
        <w:keepLines/>
        <w:pageBreakBefore w:val="0"/>
        <w:widowControl w:val="0"/>
        <w:numPr>
          <w:ilvl w:val="1"/>
          <w:numId w:val="0"/>
        </w:numPr>
        <w:kinsoku/>
        <w:wordWrap/>
        <w:overflowPunct/>
        <w:topLinePunct w:val="0"/>
        <w:autoSpaceDE/>
        <w:autoSpaceDN/>
        <w:bidi w:val="0"/>
        <w:adjustRightInd/>
        <w:snapToGrid/>
        <w:spacing w:before="0" w:beforeLines="0" w:after="0" w:line="360" w:lineRule="auto"/>
        <w:jc w:val="left"/>
        <w:textAlignment w:val="auto"/>
        <w:outlineLvl w:val="2"/>
        <w:rPr>
          <w:rFonts w:hint="eastAsia" w:ascii="宋体" w:hAnsi="宋体" w:eastAsia="宋体" w:cs="宋体"/>
          <w:b/>
          <w:bCs w:val="0"/>
          <w:color w:val="auto"/>
          <w:sz w:val="28"/>
          <w:szCs w:val="22"/>
          <w:lang w:val="en-US" w:eastAsia="zh-CN"/>
        </w:rPr>
      </w:pPr>
      <w:bookmarkStart w:id="214" w:name="_Toc17118"/>
      <w:bookmarkStart w:id="215" w:name="_Toc23606"/>
      <w:r>
        <w:rPr>
          <w:rFonts w:hint="eastAsia" w:ascii="宋体" w:hAnsi="宋体" w:eastAsia="宋体" w:cs="宋体"/>
          <w:b/>
          <w:bCs w:val="0"/>
          <w:color w:val="auto"/>
          <w:kern w:val="2"/>
          <w:sz w:val="28"/>
          <w:szCs w:val="22"/>
          <w:lang w:val="en-US" w:eastAsia="zh-CN" w:bidi="ar-SA"/>
        </w:rPr>
        <w:t>（二）</w:t>
      </w:r>
      <w:r>
        <w:rPr>
          <w:rFonts w:hint="eastAsia" w:ascii="宋体" w:hAnsi="宋体" w:eastAsia="宋体" w:cs="宋体"/>
          <w:b/>
          <w:bCs w:val="0"/>
          <w:color w:val="auto"/>
          <w:sz w:val="28"/>
          <w:szCs w:val="22"/>
          <w:lang w:val="en-US" w:eastAsia="zh-CN"/>
        </w:rPr>
        <w:t>氯化工艺作业实操考培装置</w:t>
      </w:r>
      <w:bookmarkEnd w:id="214"/>
      <w:bookmarkEnd w:id="215"/>
    </w:p>
    <w:p w14:paraId="338FD535">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2.1.</w:t>
      </w:r>
      <w:r>
        <w:rPr>
          <w:rFonts w:hint="eastAsia" w:ascii="宋体" w:hAnsi="宋体" w:eastAsia="宋体" w:cs="宋体"/>
          <w:color w:val="auto"/>
          <w:sz w:val="24"/>
          <w:szCs w:val="24"/>
          <w:lang w:val="en-US" w:eastAsia="zh-CN"/>
        </w:rPr>
        <w:t>装置概述</w:t>
      </w:r>
    </w:p>
    <w:p w14:paraId="1FE1FA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本系统需基于实际装置的工艺流程、化工过程原理、设备工作原理、质量平衡、能量平衡，应符合《特种作业安全技术实际操作考试标准》要求，具有高仿真精度的数学机理模型。</w:t>
      </w:r>
    </w:p>
    <w:p w14:paraId="2FBDAD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系统应满足在校学生、化工企业安全管理人员、特种作业人员、从业人员及安全监察监管人员的职业能力提升和专项技能实训需求，能够开展本工艺的生产工艺流程、工艺危险特点、重点监控的设备单元与工艺指标、安全控制的基本要求及自动控制方式与联锁设置内容的实训与考核工作。</w:t>
      </w:r>
    </w:p>
    <w:p w14:paraId="7AAC5C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本系统精简实际生产的化工工艺，保留特定的化工单元，编制开停车培训内容，有助于了解工艺危险特点和重点监控工艺参数设置原理。</w:t>
      </w:r>
    </w:p>
    <w:p w14:paraId="716A87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通过实训与考核，学员应能够全面掌握本工艺的生产流程、安全控制要求、紧急情况处置及应急处理能力，提升其专业技能水平，促进区域企业整体安全素质的提升。</w:t>
      </w:r>
    </w:p>
    <w:p w14:paraId="16C84C8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本装置应能够满足以下内容的培训学习与考核：</w:t>
      </w:r>
    </w:p>
    <w:tbl>
      <w:tblPr>
        <w:tblStyle w:val="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1625"/>
        <w:gridCol w:w="2342"/>
        <w:gridCol w:w="4412"/>
      </w:tblGrid>
      <w:tr w14:paraId="206D1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4F10735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844" w:type="pct"/>
            <w:noWrap w:val="0"/>
            <w:vAlign w:val="center"/>
          </w:tcPr>
          <w:p w14:paraId="5A52A74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培训类别</w:t>
            </w:r>
          </w:p>
        </w:tc>
        <w:tc>
          <w:tcPr>
            <w:tcW w:w="1216" w:type="pct"/>
            <w:noWrap w:val="0"/>
            <w:vAlign w:val="center"/>
          </w:tcPr>
          <w:p w14:paraId="778B642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分项内容</w:t>
            </w:r>
          </w:p>
        </w:tc>
        <w:tc>
          <w:tcPr>
            <w:tcW w:w="2291" w:type="pct"/>
            <w:noWrap w:val="0"/>
            <w:vAlign w:val="center"/>
          </w:tcPr>
          <w:p w14:paraId="6F70A25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题目名称</w:t>
            </w:r>
          </w:p>
        </w:tc>
      </w:tr>
      <w:tr w14:paraId="5A594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375176B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844" w:type="pct"/>
            <w:vMerge w:val="restart"/>
            <w:noWrap w:val="0"/>
            <w:vAlign w:val="center"/>
          </w:tcPr>
          <w:p w14:paraId="580AA9A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工艺操作与控制</w:t>
            </w:r>
          </w:p>
        </w:tc>
        <w:tc>
          <w:tcPr>
            <w:tcW w:w="1216" w:type="pct"/>
            <w:noWrap w:val="0"/>
            <w:vAlign w:val="center"/>
          </w:tcPr>
          <w:p w14:paraId="32C45B2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装置开停车操作</w:t>
            </w:r>
          </w:p>
        </w:tc>
        <w:tc>
          <w:tcPr>
            <w:tcW w:w="2291" w:type="pct"/>
            <w:noWrap w:val="0"/>
            <w:vAlign w:val="center"/>
          </w:tcPr>
          <w:p w14:paraId="22417BA4">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1.开车前准备工作；</w:t>
            </w:r>
          </w:p>
          <w:p w14:paraId="5B02E9E3">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2.开车操作；</w:t>
            </w:r>
          </w:p>
          <w:p w14:paraId="67A07241">
            <w:pPr>
              <w:pStyle w:val="22"/>
              <w:spacing w:line="240" w:lineRule="auto"/>
              <w:ind w:left="0" w:leftChars="0" w:firstLine="0" w:firstLineChars="0"/>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3.停车操作。</w:t>
            </w:r>
          </w:p>
        </w:tc>
      </w:tr>
      <w:tr w14:paraId="0753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1C68B59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844" w:type="pct"/>
            <w:vMerge w:val="continue"/>
            <w:noWrap w:val="0"/>
            <w:vAlign w:val="center"/>
          </w:tcPr>
          <w:p w14:paraId="1E72A87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4EC7494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装置安全隐患排查</w:t>
            </w:r>
          </w:p>
        </w:tc>
        <w:tc>
          <w:tcPr>
            <w:tcW w:w="2291" w:type="pct"/>
            <w:noWrap w:val="0"/>
            <w:vAlign w:val="center"/>
          </w:tcPr>
          <w:p w14:paraId="198B7729">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1.乙炔气供应短时中断；</w:t>
            </w:r>
          </w:p>
          <w:p w14:paraId="4C1EABDB">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2.转化反应器飞温；</w:t>
            </w:r>
          </w:p>
          <w:p w14:paraId="13A62D2D">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3.转化反应器超压；</w:t>
            </w:r>
          </w:p>
          <w:p w14:paraId="76A76892">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4.水洗塔脱盐水进水调节阀阀卡。</w:t>
            </w:r>
          </w:p>
        </w:tc>
      </w:tr>
      <w:tr w14:paraId="3C67A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2E0DB52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844" w:type="pct"/>
            <w:vMerge w:val="continue"/>
            <w:noWrap w:val="0"/>
            <w:vAlign w:val="center"/>
          </w:tcPr>
          <w:p w14:paraId="67EC8A6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14EDF07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装置安全应急处置</w:t>
            </w:r>
          </w:p>
        </w:tc>
        <w:tc>
          <w:tcPr>
            <w:tcW w:w="2291" w:type="pct"/>
            <w:noWrap w:val="0"/>
            <w:vAlign w:val="center"/>
          </w:tcPr>
          <w:p w14:paraId="0E8CC137">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1.反应器出口法兰泄漏着火有人受伤应急预案；</w:t>
            </w:r>
          </w:p>
          <w:p w14:paraId="758D3384">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2.反应器入口法兰着火应急预案；</w:t>
            </w:r>
          </w:p>
          <w:p w14:paraId="2EFA12C7">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3.转化器冷却器壳程进口法兰泄漏有人中毒应急预案。</w:t>
            </w:r>
          </w:p>
        </w:tc>
      </w:tr>
      <w:tr w14:paraId="575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27A9169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844" w:type="pct"/>
            <w:vMerge w:val="restart"/>
            <w:noWrap w:val="0"/>
            <w:vAlign w:val="center"/>
          </w:tcPr>
          <w:p w14:paraId="3E1CA30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工艺安全技术实操培训与考试</w:t>
            </w:r>
          </w:p>
        </w:tc>
        <w:tc>
          <w:tcPr>
            <w:tcW w:w="1216" w:type="pct"/>
            <w:noWrap w:val="0"/>
            <w:vAlign w:val="center"/>
          </w:tcPr>
          <w:p w14:paraId="6A7AC05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作业现场安全隐患排查</w:t>
            </w:r>
          </w:p>
        </w:tc>
        <w:tc>
          <w:tcPr>
            <w:tcW w:w="2291" w:type="pct"/>
            <w:noWrap w:val="0"/>
            <w:vAlign w:val="center"/>
          </w:tcPr>
          <w:p w14:paraId="5B00075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3F14AD1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原料泵入口管线堵；</w:t>
            </w:r>
          </w:p>
          <w:p w14:paraId="62D2FAD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原料泵抽空；</w:t>
            </w:r>
          </w:p>
          <w:p w14:paraId="0C0CFA4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停电事故；</w:t>
            </w:r>
          </w:p>
          <w:p w14:paraId="312B552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原料泵坏；</w:t>
            </w:r>
          </w:p>
          <w:p w14:paraId="53215B2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出料流量控制阀阀卡。</w:t>
            </w:r>
          </w:p>
          <w:p w14:paraId="386A195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534EBE6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换热器结垢；</w:t>
            </w:r>
          </w:p>
          <w:p w14:paraId="32AACB4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装置停电；</w:t>
            </w:r>
          </w:p>
          <w:p w14:paraId="0BBF026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装置冷物料中断事故；</w:t>
            </w:r>
          </w:p>
          <w:p w14:paraId="67F6C5B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冷物流泵坏；</w:t>
            </w:r>
          </w:p>
          <w:p w14:paraId="638DA72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热物流泵坏。</w:t>
            </w:r>
          </w:p>
          <w:p w14:paraId="6D832BE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3.吸收解吸：</w:t>
            </w:r>
          </w:p>
          <w:p w14:paraId="13FCCC6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装置停冷却水事故；</w:t>
            </w:r>
          </w:p>
          <w:p w14:paraId="7B8B3BB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装置停电事故；</w:t>
            </w:r>
          </w:p>
          <w:p w14:paraId="51AA61C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装置加热蒸汽中断事故；</w:t>
            </w:r>
          </w:p>
          <w:p w14:paraId="043770B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贫液进吸收塔泵坏；</w:t>
            </w:r>
          </w:p>
          <w:p w14:paraId="4B33301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解吸塔塔底再沸器结垢严重。</w:t>
            </w:r>
          </w:p>
          <w:p w14:paraId="6F798C6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4.精馏塔：</w:t>
            </w:r>
          </w:p>
          <w:p w14:paraId="2112F48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冷却水供应不足事故；</w:t>
            </w:r>
          </w:p>
          <w:p w14:paraId="201B67D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3C9CED4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原料中断事故；</w:t>
            </w:r>
          </w:p>
          <w:p w14:paraId="737E97C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停蒸汽；</w:t>
            </w:r>
          </w:p>
          <w:p w14:paraId="6A6A3CB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回流中断。</w:t>
            </w:r>
          </w:p>
          <w:p w14:paraId="0B9ED9E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5.釜式反应器：</w:t>
            </w:r>
          </w:p>
          <w:p w14:paraId="476116B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050B168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原料中断。</w:t>
            </w:r>
          </w:p>
          <w:p w14:paraId="79CBF3D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6.固定床反应器：</w:t>
            </w:r>
          </w:p>
          <w:p w14:paraId="0851029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反应器氢气中断；</w:t>
            </w:r>
          </w:p>
          <w:p w14:paraId="78A7BEA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冷却水中断；</w:t>
            </w:r>
          </w:p>
          <w:p w14:paraId="3ADDC5D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kern w:val="2"/>
                <w:sz w:val="21"/>
                <w:szCs w:val="21"/>
                <w:lang w:val="en-US" w:eastAsia="zh-CN" w:bidi="ar-SA"/>
              </w:rPr>
              <w:t>反应器飞温。</w:t>
            </w:r>
          </w:p>
        </w:tc>
      </w:tr>
      <w:tr w14:paraId="44A69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6540F15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844" w:type="pct"/>
            <w:vMerge w:val="continue"/>
            <w:noWrap w:val="0"/>
            <w:vAlign w:val="center"/>
          </w:tcPr>
          <w:p w14:paraId="4C8805E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5E16F5C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作业现场应急处置</w:t>
            </w:r>
          </w:p>
        </w:tc>
        <w:tc>
          <w:tcPr>
            <w:tcW w:w="2291" w:type="pct"/>
            <w:noWrap w:val="0"/>
            <w:vAlign w:val="center"/>
          </w:tcPr>
          <w:p w14:paraId="7B5B6B6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1E022E6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离心泵机械密封泄露着火应急预案；</w:t>
            </w:r>
          </w:p>
          <w:p w14:paraId="5321D60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离心泵出口法兰泄露有人中毒应急预案；</w:t>
            </w:r>
          </w:p>
          <w:p w14:paraId="4FF2B79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出料流量控制阀前法兰泄露着火应急预案；</w:t>
            </w:r>
          </w:p>
          <w:p w14:paraId="0CC163A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泵出口法兰泄露着火应急预案。</w:t>
            </w:r>
          </w:p>
          <w:p w14:paraId="3C06439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4EC688E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冷物料泵出口法兰泄露着火事故应急预案；</w:t>
            </w:r>
          </w:p>
          <w:p w14:paraId="728AB32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换热器热物料出口法兰泄露着火事故应急预案；</w:t>
            </w:r>
          </w:p>
          <w:p w14:paraId="61EF865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换热器热物料出口法兰有人中毒应急预案。</w:t>
            </w:r>
          </w:p>
          <w:p w14:paraId="7A50E72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3.吸收解吸：</w:t>
            </w:r>
          </w:p>
          <w:p w14:paraId="15A55B4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吸收剂泄漏着火事故应急预案；</w:t>
            </w:r>
          </w:p>
          <w:p w14:paraId="38EEF2A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原料进吸收塔法兰泄漏着火应急预案；</w:t>
            </w:r>
          </w:p>
          <w:p w14:paraId="1B79D6B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原料进吸收塔法兰泄漏有人中毒晕倒。</w:t>
            </w:r>
          </w:p>
          <w:p w14:paraId="2820A91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4.精馏塔：</w:t>
            </w:r>
          </w:p>
          <w:p w14:paraId="42B8327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回流罐切水阀法兰泄漏着火应急预案；</w:t>
            </w:r>
          </w:p>
          <w:p w14:paraId="0EB5F4F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机械密封泄漏着火应急预案；</w:t>
            </w:r>
          </w:p>
          <w:p w14:paraId="12FBDA7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塔釜出口法兰泄漏应急预案。</w:t>
            </w:r>
          </w:p>
          <w:p w14:paraId="3D6262D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5.釜式反应器：</w:t>
            </w:r>
          </w:p>
          <w:p w14:paraId="4669D5FB">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进料阀法兰泄漏着火；</w:t>
            </w:r>
          </w:p>
          <w:p w14:paraId="4C9EECD3">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己烷进料泵机械密封泄漏着火；</w:t>
            </w:r>
          </w:p>
          <w:p w14:paraId="15D6543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第一反应器乙烯进料调节阀法兰泄漏有人中毒。</w:t>
            </w:r>
          </w:p>
          <w:p w14:paraId="2DDB505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6.</w:t>
            </w:r>
            <w:r>
              <w:rPr>
                <w:rFonts w:hint="eastAsia" w:ascii="宋体" w:hAnsi="宋体" w:eastAsia="宋体" w:cs="宋体"/>
                <w:i w:val="0"/>
                <w:color w:val="auto"/>
                <w:kern w:val="0"/>
                <w:sz w:val="21"/>
                <w:szCs w:val="21"/>
                <w:highlight w:val="none"/>
                <w:u w:val="none"/>
                <w:lang w:val="en-US" w:eastAsia="zh-CN" w:bidi="ar"/>
              </w:rPr>
              <w:t>固定床</w:t>
            </w:r>
            <w:r>
              <w:rPr>
                <w:rFonts w:hint="eastAsia" w:ascii="宋体" w:hAnsi="宋体" w:eastAsia="宋体" w:cs="宋体"/>
                <w:i w:val="0"/>
                <w:iCs w:val="0"/>
                <w:color w:val="auto"/>
                <w:kern w:val="2"/>
                <w:sz w:val="21"/>
                <w:szCs w:val="21"/>
                <w:lang w:val="en-US" w:eastAsia="zh-CN" w:bidi="ar-SA"/>
              </w:rPr>
              <w:t>反应器：</w:t>
            </w:r>
          </w:p>
          <w:p w14:paraId="0D032FEF">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反应器二段出口法兰泄漏着火有人受伤；</w:t>
            </w:r>
          </w:p>
          <w:p w14:paraId="5CED201F">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反应器一段入口阀门泄漏着火；</w:t>
            </w:r>
          </w:p>
          <w:p w14:paraId="2F141A8A">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粗氢一段入口调节阀前阀泄漏中毒。</w:t>
            </w:r>
          </w:p>
        </w:tc>
      </w:tr>
    </w:tbl>
    <w:p w14:paraId="5EB359F0">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2.2.</w:t>
      </w:r>
      <w:r>
        <w:rPr>
          <w:rFonts w:hint="eastAsia" w:ascii="宋体" w:hAnsi="宋体" w:eastAsia="宋体" w:cs="宋体"/>
          <w:color w:val="auto"/>
          <w:sz w:val="24"/>
          <w:szCs w:val="24"/>
          <w:lang w:val="en-US" w:eastAsia="zh-CN"/>
        </w:rPr>
        <w:t>装置设计要求</w:t>
      </w:r>
    </w:p>
    <w:p w14:paraId="34E16A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①系统可以展示工艺报警联锁指标一览表、报警和联锁动作。</w:t>
      </w:r>
    </w:p>
    <w:p w14:paraId="2E708E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智能仪表设计要求：仿真模拟智能仪表包括流量显示仪表、温度显示仪表、压力显示仪表、液位计和分析仪表。可以实现仿真模拟运行参数的远传与显示，并可与通讯模块、控制系统、现场执行机构构成完整的控制回路，实现多参数、多策略的过程控制。</w:t>
      </w:r>
    </w:p>
    <w:p w14:paraId="2C7AC5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③紧急停车系统要求：重要监控指标与模拟SIS控制系统相结合，实现关键设备的联锁保护、紧急停车。</w:t>
      </w:r>
    </w:p>
    <w:p w14:paraId="3D511E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④执行机构及现场阀门设计要求：装置执行机构、现场阀门可以和控制系统进行通讯。执行机构与阀门的操作与实际一致，模拟采集型号多样，如开关阀、切断阀采用开关量信号，调节阀、开度阀采用模拟量信号；信号的不同，系统参数调节的变量亦不相同，达到真实的培训效果。</w:t>
      </w:r>
    </w:p>
    <w:p w14:paraId="08B9A4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⑤动设备设计要求：动设备的外购与真实的设备一致，现场控制时采用防爆接线盒，控制系统可以监控运行状态。</w:t>
      </w:r>
    </w:p>
    <w:p w14:paraId="002E21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⑥事故模拟系统设计要求：装置能通过声、光、电、烟雾手段，形象逼真地展现事故触发时的现场状态，各种事故模拟设施隐蔽设置。</w:t>
      </w:r>
    </w:p>
    <w:p w14:paraId="04E36A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⑦警戒隔离系统：设置警戒隔离系统，用于设备警戒隔离。同样，警戒隔离系统可以用于事故模拟时的现场封锁，可以与考核系统建立通讯并识别操作动作。</w:t>
      </w:r>
    </w:p>
    <w:p w14:paraId="740D2A5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⑧可实现实操培训与考核全过程的智能化，即场景的自动设置与调整、人员实操行为的自动检测与智能评判、实操培训与考核的全程无人值守、培训软硬件设施的一体化集中管控、培训数据的自动分析与实时查询</w:t>
      </w:r>
      <w:r>
        <w:rPr>
          <w:rFonts w:hint="eastAsia" w:ascii="宋体" w:hAnsi="宋体" w:cs="宋体"/>
          <w:b w:val="0"/>
          <w:bCs w:val="0"/>
          <w:color w:val="auto"/>
          <w:sz w:val="24"/>
          <w:szCs w:val="24"/>
          <w:highlight w:val="none"/>
          <w:lang w:val="en-US" w:eastAsia="zh-CN"/>
        </w:rPr>
        <w:t>。</w:t>
      </w:r>
    </w:p>
    <w:p w14:paraId="77D762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lang w:val="en-US" w:eastAsia="zh-CN"/>
        </w:rPr>
      </w:pPr>
      <w:r>
        <w:rPr>
          <w:rFonts w:hint="eastAsia" w:ascii="宋体" w:hAnsi="宋体" w:eastAsia="宋体" w:cs="宋体"/>
          <w:b w:val="0"/>
          <w:bCs w:val="0"/>
          <w:color w:val="auto"/>
          <w:sz w:val="24"/>
          <w:szCs w:val="24"/>
          <w:highlight w:val="none"/>
          <w:lang w:val="en-US" w:eastAsia="zh-CN"/>
        </w:rPr>
        <w:t>⑨自动评分系统设计：危化工艺考评系统包括硬件和软件两部分组成，硬件包括数据采集模块、控制模块、电源模块、通讯转换器组成，软件部分由定制考核软件组成，系统通过软件与现场控制站模块通讯采集数据、控制运算、控制输出，实现数据交互，根据危化工艺操作步骤，将现场操作数据传送至软件之后，实现危化工艺操作的记录与考核。全程无需人工干预，客观公正，教考分离。</w:t>
      </w:r>
    </w:p>
    <w:p w14:paraId="7C6F9A0D">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2.3.</w:t>
      </w:r>
      <w:r>
        <w:rPr>
          <w:rFonts w:hint="eastAsia" w:ascii="宋体" w:hAnsi="宋体" w:eastAsia="宋体" w:cs="宋体"/>
          <w:color w:val="auto"/>
          <w:sz w:val="24"/>
          <w:szCs w:val="24"/>
          <w:lang w:val="en-US" w:eastAsia="zh-CN"/>
        </w:rPr>
        <w:t>工艺简介</w:t>
      </w:r>
    </w:p>
    <w:p w14:paraId="2F53F6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氯化是化合物的分子中引入氯原子的反应，包含氯化反应的工艺过程为氯化工艺，主要包括取代氯化、加成氯化、氧氯化。一般为放热反应，重点监控单元包含氯化反应器和氯气储运单元。</w:t>
      </w:r>
    </w:p>
    <w:p w14:paraId="0FC230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艺危险特点：（氯化反应是一个放热过程，尤其在较高温度下进行氯化，反应更为剧烈，速度快，放热量较大；所用的原料大多具有燃爆危险性；常用的氯化剂氯气本身为剧毒化学品，氧化性强，储存压力较高，多数氯化工艺采用液氯生产是先汽化再氯化，一旦泄漏危险性较大；氯气中的杂质，如水、氢气、氧气、三氯化氮，在使用中易发生危险，特别是三氯化氮积累后，容易引发爆炸危险；生成的氯化氢气体遇水后腐蚀性强；氯化反应尾气可能形成爆炸性混合物。</w:t>
      </w:r>
    </w:p>
    <w:p w14:paraId="61BD9A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本装置工艺：</w:t>
      </w:r>
    </w:p>
    <w:p w14:paraId="2F61D1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甲醇氯化制备氯甲烷的生产工艺</w:t>
      </w:r>
    </w:p>
    <w:p w14:paraId="4006A4B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color w:val="auto"/>
          <w:lang w:val="en-US" w:eastAsia="zh-CN"/>
        </w:rPr>
        <w:t xml:space="preserve"> </w:t>
      </w:r>
      <w:r>
        <w:rPr>
          <w:rFonts w:hint="eastAsia" w:ascii="宋体" w:hAnsi="宋体" w:eastAsia="宋体" w:cs="宋体"/>
          <w:color w:val="auto"/>
        </w:rPr>
        <w:drawing>
          <wp:inline distT="0" distB="0" distL="114300" distR="114300">
            <wp:extent cx="1961515" cy="228600"/>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icPr>
                  <pic:blipFill>
                    <a:blip r:embed="rId9"/>
                    <a:stretch>
                      <a:fillRect/>
                    </a:stretch>
                  </pic:blipFill>
                  <pic:spPr>
                    <a:xfrm>
                      <a:off x="0" y="0"/>
                      <a:ext cx="1961515" cy="228600"/>
                    </a:xfrm>
                    <a:prstGeom prst="rect">
                      <a:avLst/>
                    </a:prstGeom>
                    <a:noFill/>
                    <a:ln>
                      <a:noFill/>
                    </a:ln>
                  </pic:spPr>
                </pic:pic>
              </a:graphicData>
            </a:graphic>
          </wp:inline>
        </w:drawing>
      </w:r>
    </w:p>
    <w:p w14:paraId="6CB33C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4"/>
          <w:szCs w:val="24"/>
          <w:highlight w:val="none"/>
          <w:lang w:val="en-US" w:eastAsia="zh-CN"/>
        </w:rPr>
        <w:t>甲醇经蒸发器（E201）蒸发后，与来自界外的氯化氢气体混合后进行R101固定床反应器，在催化剂的作用下生成氯甲烷气体，经反应器上部输出，再经冷凝器E102进行冷凝，未反应完全的甲醇、盐酸在气液分离器V101内与氯甲烷气体分离后返回至R101反应器进行再次反应。作用：一是保证物料反应完全，二是调节反应釜的温度。</w:t>
      </w:r>
    </w:p>
    <w:p w14:paraId="58B1402B">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2.4.</w:t>
      </w:r>
      <w:r>
        <w:rPr>
          <w:rFonts w:hint="eastAsia" w:ascii="宋体" w:hAnsi="宋体" w:eastAsia="宋体" w:cs="宋体"/>
          <w:color w:val="auto"/>
          <w:sz w:val="24"/>
          <w:szCs w:val="24"/>
          <w:lang w:val="en-US" w:eastAsia="zh-CN"/>
        </w:rPr>
        <w:t>安全控制要求</w:t>
      </w:r>
    </w:p>
    <w:p w14:paraId="5E8ABE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反应釜温度和压力的报警和联锁；反应物料的比例控制和联锁；搅拌的稳定控制；进料缓冲器；紧急进料切断系统；紧急冷却系统；安全泄放系统；事故状态下氯气吸收中和系统；可燃和有毒气体检测报警装置。</w:t>
      </w:r>
    </w:p>
    <w:p w14:paraId="6F86E115">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2.5.</w:t>
      </w:r>
      <w:r>
        <w:rPr>
          <w:rFonts w:hint="eastAsia" w:ascii="宋体" w:hAnsi="宋体" w:eastAsia="宋体" w:cs="宋体"/>
          <w:color w:val="auto"/>
          <w:sz w:val="24"/>
          <w:szCs w:val="24"/>
          <w:lang w:val="en-US" w:eastAsia="zh-CN"/>
        </w:rPr>
        <w:t>采用的控制方式</w:t>
      </w:r>
    </w:p>
    <w:p w14:paraId="04B0C8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将氯化反应温度、压力与釜内搅拌、氯化剂流量、氯化反应釜夹套冷却水进水阀形成联锁关系，设立紧急停车系统。</w:t>
      </w:r>
    </w:p>
    <w:p w14:paraId="5DBA3C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安全设施，包括安全阀、高压阀、紧急放空阀、液位计、单向阀及紧急切断装置。</w:t>
      </w:r>
    </w:p>
    <w:p w14:paraId="611FE6BA">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2.6.</w:t>
      </w:r>
      <w:r>
        <w:rPr>
          <w:rFonts w:hint="eastAsia" w:ascii="宋体" w:hAnsi="宋体" w:eastAsia="宋体" w:cs="宋体"/>
          <w:color w:val="auto"/>
          <w:sz w:val="24"/>
          <w:szCs w:val="24"/>
          <w:lang w:val="en-US" w:eastAsia="zh-CN"/>
        </w:rPr>
        <w:t>重点监控工艺参数</w:t>
      </w:r>
    </w:p>
    <w:p w14:paraId="482D52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氯化反应釜温度和压力；氯化反应釜搅拌速率；反应物料的配比；氯化剂进料流量；冷却系统中冷却介质的温度、压力、流量；氯气杂质含量（水、氢气、氧气、三氯化氮）；氯化反应尾气组成。</w:t>
      </w:r>
    </w:p>
    <w:p w14:paraId="3EB8EB8B">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2.7.</w:t>
      </w:r>
      <w:r>
        <w:rPr>
          <w:rFonts w:hint="eastAsia" w:ascii="宋体" w:hAnsi="宋体" w:eastAsia="宋体" w:cs="宋体"/>
          <w:color w:val="auto"/>
          <w:sz w:val="24"/>
          <w:szCs w:val="24"/>
          <w:lang w:val="en-US" w:eastAsia="zh-CN"/>
        </w:rPr>
        <w:t>危化工艺安全考核软件要求</w:t>
      </w:r>
    </w:p>
    <w:p w14:paraId="241482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该软件应结合《安监总宣教〔2014〕139号国家安全监管总局关于印发特种作业安全技术实际操作考试标准及考试点设备配备标准（试行）的通知》的标准设计开发，能够用于危化生产从业人员培训和考试的考培系统，软件涉及的工艺流程、科目3（作业现场安全隐患排除，简称K3）和科目4（作业现场应急处置，简称K4）考试内容、考试评分标准内容需结合《特种作业安全技术实际操作考试标准（试行）》的标准来设计开发。</w:t>
      </w:r>
    </w:p>
    <w:p w14:paraId="552427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软件应包含但不限于以下功能：</w:t>
      </w:r>
    </w:p>
    <w:p w14:paraId="2E2745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①操作软件采用DCS模拟仿真技术，以DCS组态界面的形式呈现工艺与场景的操作流程。</w:t>
      </w:r>
    </w:p>
    <w:p w14:paraId="18F2AC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②作业现场安全隐患排除包括停电、停蒸汽、停冷却水、物料中断、泵坏、阀卡常见的工艺事故，作业现场应急处置包括着火、泄漏、中毒典型的安全事故。</w:t>
      </w:r>
    </w:p>
    <w:p w14:paraId="3E72CA8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③系统后台运行动态的模拟数据，并配有相应的智能评分系统，对学员的操作进行智能判断并给出成绩。</w:t>
      </w:r>
    </w:p>
    <w:p w14:paraId="71F793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作业现场应急处置操作过程中设有班长、内操、外操、安全员多种不同的角色；人物角色具有装备穿戴选择和工具选择功能；角色之间具备对话交流情节功能；软件具有事故应急预案广播通知功能；在组态界面中可实现警戒线设置、消防车引导、救护车引导、灭火器使用、消防水炮启用。</w:t>
      </w:r>
    </w:p>
    <w:p w14:paraId="000C57A1">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2.8.</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color w:val="auto"/>
          <w:kern w:val="2"/>
          <w:sz w:val="24"/>
          <w:szCs w:val="24"/>
          <w:highlight w:val="none"/>
          <w:lang w:val="en-US" w:eastAsia="zh-CN" w:bidi="ar-SA"/>
        </w:rPr>
        <w:t>主要</w:t>
      </w:r>
      <w:r>
        <w:rPr>
          <w:rFonts w:hint="eastAsia" w:ascii="宋体" w:hAnsi="宋体" w:eastAsia="宋体" w:cs="宋体"/>
          <w:color w:val="auto"/>
          <w:sz w:val="24"/>
          <w:szCs w:val="24"/>
          <w:highlight w:val="none"/>
          <w:lang w:val="en-US" w:eastAsia="zh-CN"/>
        </w:rPr>
        <w:t>参数</w:t>
      </w:r>
    </w:p>
    <w:tbl>
      <w:tblPr>
        <w:tblStyle w:val="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2"/>
        <w:gridCol w:w="1433"/>
        <w:gridCol w:w="5946"/>
        <w:gridCol w:w="724"/>
        <w:gridCol w:w="793"/>
      </w:tblGrid>
      <w:tr w14:paraId="319C5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D21F23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E96C90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名称</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F66F53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规格型号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E4FE2A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数量</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ADEA39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单位</w:t>
            </w:r>
          </w:p>
        </w:tc>
      </w:tr>
      <w:tr w14:paraId="0851D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55DA27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bCs/>
                <w:i w:val="0"/>
                <w:iCs w:val="0"/>
                <w:color w:val="auto"/>
                <w:kern w:val="0"/>
                <w:sz w:val="21"/>
                <w:szCs w:val="21"/>
                <w:highlight w:val="none"/>
                <w:u w:val="none"/>
                <w:lang w:val="en-US" w:eastAsia="zh-CN" w:bidi="ar"/>
              </w:rPr>
              <w:t>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9C76EC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框架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97A41E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kern w:val="0"/>
                <w:sz w:val="21"/>
                <w:szCs w:val="21"/>
                <w:highlight w:val="none"/>
                <w:lang w:bidi="ar"/>
              </w:rPr>
              <w:t>框架尺寸长×宽×高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3250</w:t>
            </w:r>
            <w:r>
              <w:rPr>
                <w:rFonts w:hint="eastAsia" w:ascii="宋体" w:hAnsi="宋体" w:eastAsia="宋体" w:cs="宋体"/>
                <w:color w:val="auto"/>
                <w:kern w:val="0"/>
                <w:sz w:val="21"/>
                <w:szCs w:val="21"/>
                <w:highlight w:val="none"/>
                <w:lang w:bidi="ar"/>
              </w:rPr>
              <w:t>mm，</w:t>
            </w:r>
            <w:r>
              <w:rPr>
                <w:rFonts w:hint="eastAsia" w:ascii="宋体" w:hAnsi="宋体" w:eastAsia="宋体" w:cs="宋体"/>
                <w:color w:val="auto"/>
                <w:kern w:val="0"/>
                <w:sz w:val="21"/>
                <w:szCs w:val="21"/>
                <w:highlight w:val="none"/>
                <w:lang w:eastAsia="zh-CN" w:bidi="ar"/>
              </w:rPr>
              <w:t>设备尺寸</w:t>
            </w:r>
            <w:r>
              <w:rPr>
                <w:rFonts w:hint="eastAsia" w:ascii="宋体" w:hAnsi="宋体" w:eastAsia="宋体" w:cs="宋体"/>
                <w:color w:val="auto"/>
                <w:kern w:val="0"/>
                <w:sz w:val="21"/>
                <w:szCs w:val="21"/>
                <w:highlight w:val="none"/>
                <w:lang w:bidi="ar"/>
              </w:rPr>
              <w:t>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3570</w:t>
            </w:r>
            <w:r>
              <w:rPr>
                <w:rFonts w:hint="eastAsia" w:ascii="宋体" w:hAnsi="宋体" w:eastAsia="宋体" w:cs="宋体"/>
                <w:color w:val="auto"/>
                <w:kern w:val="0"/>
                <w:sz w:val="21"/>
                <w:szCs w:val="21"/>
                <w:highlight w:val="none"/>
                <w:lang w:bidi="ar"/>
              </w:rPr>
              <w:t>mm。此设备框架立柱型材规格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150*150*7*10mmH型钢。框架为钢结构二层平台带楼梯，一层方便人员进入操作；二层平台主梁型材规格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150*150*7*10mmH型钢，次梁型材规格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100*50*4mm冷弯型钢、</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60*40*4mm冷弯型钢及5#等边角铁。平台铺板型号规格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3mm（含扁豆纹高度）热轧花纹钢板。护栏型材规格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40*40*2mm冷弯型钢，护栏踢脚板型材规格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100*3mm扁钢。楼梯型材规格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180*50*20*3mmC型钢，楼梯踏板</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700*250*4mm（含扁豆纹高度）热轧花纹钢板折弯件。</w:t>
            </w:r>
            <w:r>
              <w:rPr>
                <w:rFonts w:hint="eastAsia" w:ascii="宋体" w:hAnsi="宋体" w:eastAsia="宋体" w:cs="宋体"/>
                <w:i w:val="0"/>
                <w:iCs w:val="0"/>
                <w:color w:val="auto"/>
                <w:kern w:val="0"/>
                <w:sz w:val="21"/>
                <w:szCs w:val="21"/>
                <w:highlight w:val="none"/>
                <w:u w:val="none"/>
                <w:lang w:val="en-US" w:eastAsia="zh-CN" w:bidi="ar"/>
              </w:rPr>
              <w:t>两层设计，带步梯和栏杆。</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BE4631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380320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253FC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24A478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i w:val="0"/>
                <w:iCs w:val="0"/>
                <w:color w:val="auto"/>
                <w:kern w:val="0"/>
                <w:sz w:val="21"/>
                <w:szCs w:val="21"/>
                <w:highlight w:val="none"/>
                <w:u w:val="none"/>
                <w:lang w:val="en-US" w:eastAsia="zh-CN" w:bidi="ar"/>
              </w:rPr>
              <w:t>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54C743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混合预热器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784083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≥φ273*1000mm，列管换热器，304不锈钢镜面。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59E090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C7DFAF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43E2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215F0D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7937E1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一段转化器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4CBE17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≥φ350*800mm，立式，304不锈钢镜面。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DB4410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F4EFE7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5AB1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643690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9A058C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转化器冷却器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0C0173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≥φ273*1000mm，列管换热器，304不锈钢镜面。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2FCB7C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1D39CB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E17A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36E79A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ABC893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除汞器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FCF3DE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≥φ219*300mm，立式，304不锈钢镜面。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AFB7CB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6AE114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F8B8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600A07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A5E94E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降膜吸收器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1D9CFC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≥φ350*800mm，立式，304不锈钢镜面。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BDA104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3D137A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7362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544C1B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DF4752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水洗塔</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667C4D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≥φ325*3500mm，两段式吸收塔，304不锈钢镜面。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0C646D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F12DE6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E0E3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481892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A909ED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热水循环泵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15E8C1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0EB71A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025F76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6254F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F75C70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457B61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水洗塔塔底泵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777D1F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03FD9C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E56D75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508E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3D365EC">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E591B5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温度计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74B59E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仿真温度计，4—20mA信号输入，液晶显示。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A5B906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EA4275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4EAA3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7E700A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FA2049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压力表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673DC1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仿真压力表，4—20mA信号输入，液晶显示数值或指针压力表，指针可动。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39D2EC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D0068A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07D51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BC245F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0FDC1B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流量计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502B5D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仿真流量计，4—20mA信号输入，液晶显示数值。</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93F675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7C3271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34A89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C06D7D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59913A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液位计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EE6D41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仿真液位计，4—20mA信号输入。</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8F3C6C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9BF18C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6B09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4616C5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93B472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手动阀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0CAD24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仿真球阀和截止阀，开关量现场显示和远传。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0EF8CC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A5DDAD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E579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6D3DA4C">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B44389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DFF8E3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自动调节阀和电磁阀，其中调节阀开度值现场显示和远传，电磁阀远传显示。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9FF381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0F2069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1840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F7F1BB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407D3A6">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报警器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948919E">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模拟现场可燃气体报警和有毒气体报警，声光显示。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D495C1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2C9C30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0769C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B2727F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54BFA8A">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报警灯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7A76A68">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119报警灯，用于事故的警示、紧急救援的预警，声光报警。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767A29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578248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71FD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DB7C78C">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FBDECC4">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泄漏模拟系统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9CCC501">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rPr>
              <w:t>模拟泄漏事故现象，配合考核系统完成泄漏事故操作。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CE1BA0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2F6005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377C2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EB5250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F33196A">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着火模拟系统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ADA3439">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模拟着火事故现象，配合考核系统完成着火事故操作。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8156DE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07DA2B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7AB28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5203E2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45BF8B0">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灭火模拟系统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319631F">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模拟灭火器的</w:t>
            </w:r>
            <w:r>
              <w:rPr>
                <w:rFonts w:hint="eastAsia" w:ascii="宋体" w:hAnsi="宋体" w:eastAsia="宋体" w:cs="宋体"/>
                <w:color w:val="auto"/>
                <w:kern w:val="0"/>
                <w:sz w:val="21"/>
                <w:szCs w:val="21"/>
                <w:highlight w:val="none"/>
                <w:lang w:eastAsia="zh-CN"/>
              </w:rPr>
              <w:t>使用</w:t>
            </w:r>
            <w:r>
              <w:rPr>
                <w:rFonts w:hint="eastAsia" w:ascii="宋体" w:hAnsi="宋体" w:eastAsia="宋体" w:cs="宋体"/>
                <w:color w:val="auto"/>
                <w:kern w:val="0"/>
                <w:sz w:val="21"/>
                <w:szCs w:val="21"/>
                <w:highlight w:val="none"/>
              </w:rPr>
              <w:t>，配合考核系统完成相应事故操作。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610BBC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7C9D1B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BD3B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D0481F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477DC71">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警戒隔离模拟系统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D7C8DE0">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模拟设置警戒隔离区域，配合考核系统完成相应事故操作。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DF9C5D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E0677D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56B07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4D0A4C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91028F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模拟接地系统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BF31F8B">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静电接地线、静电跨接带。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150F09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9BBA25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33E05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9C3C25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E181CBA">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模拟静电消除</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91C2BF5">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静电释放器。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FC6038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71DE7A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3BC89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EB9D25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24BE88E">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行为智能检测</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6F4A344">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人员实操行为的自动检测与智能评判，配套智能摄像头与智能评判软件。</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7DFBDE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66825E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5FCB2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CE8C6A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C6F3BF8">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集中管控系统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44F4D6E">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电气系统一键开关，配套空开与管控系统。</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77C3A8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6C8565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72326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1D03ED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29BED9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其他阀门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350EBF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与设备、工艺、管线配套。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5203A7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E3ECB5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3BC93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BBCA06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68ABFB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紧固件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1FFF76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与法兰，阀门，框架、支架配合；螺栓和垫片的材质与本工艺的设备、管件以及涉及的物料相匹配。</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BD02A9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FF8121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0C5C0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2E344F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A4E166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智能仪表电器控制柜</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D88418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供电电压220V。智能仪表电器控制台：钢制喷塑材质，内安装有配电盘、旋钮式强电开关控制、分相电压表、急停按钮，配电盘上安装有漏电保护器、24V开关电源，接触器，固态继电器，AO模块、AI模块、DO模块、DI模块，信号线均采用屏蔽线，电源线均采用国标阻燃线，电线通过工业级喷塑桥架（或镀锌桥架）与现场装置、仪表连接，强电弱电分离，杜绝信号干扰。</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97F641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A1EFE5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r>
      <w:tr w14:paraId="01758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601BF08">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D0EA42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智能考试终端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C897CE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CPU：核心≥6，线程≥12，智能缓存≥18MB；内存：4GB；独显：≥2G；硬盘：≥128G固态硬盘。 </w:t>
            </w:r>
          </w:p>
          <w:p w14:paraId="14A87C7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≥21.5 英寸WLED液晶显示器/串口，配无线网卡、键鼠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5A7A6D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CA0565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8614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BCD921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30</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17D3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软件</w:t>
            </w:r>
          </w:p>
        </w:tc>
        <w:tc>
          <w:tcPr>
            <w:tcW w:w="30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1F9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满足</w:t>
            </w:r>
            <w:r>
              <w:rPr>
                <w:rFonts w:hint="eastAsia" w:ascii="宋体" w:hAnsi="宋体" w:eastAsia="宋体" w:cs="宋体"/>
                <w:b w:val="0"/>
                <w:bCs w:val="0"/>
                <w:color w:val="auto"/>
                <w:kern w:val="0"/>
                <w:sz w:val="21"/>
                <w:szCs w:val="21"/>
                <w:highlight w:val="none"/>
                <w:u w:val="none"/>
                <w:lang w:val="en-US" w:eastAsia="zh-CN" w:bidi="ar"/>
              </w:rPr>
              <w:t>《安监总宣教〔2014〕139号国家安全监管总局关于印发特种作业安全技术实际操作考试标准及考试点设备配备标准（试行）的通知》</w:t>
            </w:r>
            <w:r>
              <w:rPr>
                <w:rFonts w:hint="eastAsia" w:ascii="宋体" w:hAnsi="宋体" w:cs="宋体"/>
                <w:b w:val="0"/>
                <w:bCs w:val="0"/>
                <w:color w:val="auto"/>
                <w:kern w:val="0"/>
                <w:sz w:val="21"/>
                <w:szCs w:val="21"/>
                <w:highlight w:val="none"/>
                <w:u w:val="none"/>
                <w:lang w:val="en-US" w:eastAsia="zh-CN" w:bidi="ar"/>
              </w:rPr>
              <w:t>的培训考核项目要求</w:t>
            </w:r>
            <w:r>
              <w:rPr>
                <w:rFonts w:hint="eastAsia" w:ascii="宋体" w:hAnsi="宋体" w:eastAsia="宋体" w:cs="宋体"/>
                <w:i w:val="0"/>
                <w:iCs w:val="0"/>
                <w:color w:val="auto"/>
                <w:kern w:val="0"/>
                <w:sz w:val="21"/>
                <w:szCs w:val="21"/>
                <w:highlight w:val="none"/>
                <w:u w:val="none"/>
                <w:lang w:val="en-US" w:eastAsia="zh-CN" w:bidi="ar"/>
              </w:rPr>
              <w:t>，支撑考核设备具备随机模拟产生各作业工艺操作过程中相应的紧急情况，实现紧急处置操作考核的功能；具备网络自动出题、考核结束设备智能判分的功能。</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D03CBD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86B837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bl>
    <w:p w14:paraId="6C6BDFD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val="0"/>
          <w:color w:val="auto"/>
          <w:sz w:val="24"/>
          <w:szCs w:val="24"/>
          <w:lang w:val="en-US" w:eastAsia="zh-CN"/>
        </w:rPr>
      </w:pPr>
    </w:p>
    <w:p w14:paraId="0A143320">
      <w:pPr>
        <w:pStyle w:val="4"/>
        <w:keepNext/>
        <w:keepLines/>
        <w:pageBreakBefore w:val="0"/>
        <w:widowControl w:val="0"/>
        <w:numPr>
          <w:ilvl w:val="1"/>
          <w:numId w:val="0"/>
        </w:numPr>
        <w:kinsoku/>
        <w:wordWrap/>
        <w:overflowPunct/>
        <w:topLinePunct w:val="0"/>
        <w:autoSpaceDE/>
        <w:autoSpaceDN/>
        <w:bidi w:val="0"/>
        <w:adjustRightInd/>
        <w:snapToGrid/>
        <w:spacing w:before="0" w:beforeLines="0" w:after="0" w:line="360" w:lineRule="auto"/>
        <w:jc w:val="left"/>
        <w:textAlignment w:val="auto"/>
        <w:outlineLvl w:val="2"/>
        <w:rPr>
          <w:rFonts w:hint="eastAsia" w:ascii="宋体" w:hAnsi="宋体" w:eastAsia="宋体" w:cs="宋体"/>
          <w:b/>
          <w:bCs w:val="0"/>
          <w:color w:val="auto"/>
          <w:sz w:val="28"/>
          <w:szCs w:val="22"/>
          <w:lang w:val="en-US" w:eastAsia="zh-CN"/>
        </w:rPr>
      </w:pPr>
      <w:bookmarkStart w:id="216" w:name="_Toc14025"/>
      <w:bookmarkStart w:id="217" w:name="_Toc20841"/>
      <w:bookmarkStart w:id="218" w:name="_Toc10798"/>
      <w:r>
        <w:rPr>
          <w:rFonts w:hint="eastAsia" w:ascii="宋体" w:hAnsi="宋体" w:eastAsia="宋体" w:cs="宋体"/>
          <w:b/>
          <w:bCs w:val="0"/>
          <w:color w:val="auto"/>
          <w:kern w:val="2"/>
          <w:sz w:val="28"/>
          <w:szCs w:val="22"/>
          <w:lang w:val="en-US" w:eastAsia="zh-CN" w:bidi="ar-SA"/>
        </w:rPr>
        <w:t>（三）</w:t>
      </w:r>
      <w:r>
        <w:rPr>
          <w:rFonts w:hint="eastAsia" w:ascii="宋体" w:hAnsi="宋体" w:eastAsia="宋体" w:cs="宋体"/>
          <w:b/>
          <w:bCs w:val="0"/>
          <w:color w:val="auto"/>
          <w:sz w:val="28"/>
          <w:szCs w:val="22"/>
          <w:lang w:val="en-US" w:eastAsia="zh-CN"/>
        </w:rPr>
        <w:t>硝化工艺作业实操考培装置</w:t>
      </w:r>
      <w:bookmarkEnd w:id="216"/>
      <w:bookmarkEnd w:id="217"/>
      <w:bookmarkEnd w:id="218"/>
    </w:p>
    <w:p w14:paraId="7806AD0C">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3.1.</w:t>
      </w:r>
      <w:r>
        <w:rPr>
          <w:rFonts w:hint="eastAsia" w:ascii="宋体" w:hAnsi="宋体" w:eastAsia="宋体" w:cs="宋体"/>
          <w:color w:val="auto"/>
          <w:sz w:val="24"/>
          <w:szCs w:val="24"/>
          <w:lang w:val="en-US" w:eastAsia="zh-CN"/>
        </w:rPr>
        <w:t>装置概述</w:t>
      </w:r>
    </w:p>
    <w:p w14:paraId="1325EA8A">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本系统需基于实际装置的工艺流程、化工过程原理、设备工作原理、质量平衡、能量平衡，应符合《特种作业安全技术实际操作考试标准》要求，具有高仿真精度的数学机理模型。</w:t>
      </w:r>
    </w:p>
    <w:p w14:paraId="73E8F2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系统应满足在校学生、化工企业安全管理人员、特种作业人员、从业人员及安全监察监管人员的职业能力提升和专项技能实训需求，能够开展本工艺的生产工艺流程、工艺危险特点、重点监控的设备单元与工艺指标、安全控制的基本要求及自动控制方式与联锁设置内容的实训与考核工作。</w:t>
      </w:r>
    </w:p>
    <w:p w14:paraId="252DED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本系统精简实际生产的化工工艺，保留特定的化工单元，编制开停车培训内容，有助于了解工艺危险特点和重点监控工艺参数设置原理。</w:t>
      </w:r>
    </w:p>
    <w:p w14:paraId="5E0778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通过实训与考核，学员应能够全面掌握本工艺的生产流程、安全控制要求、紧急情况处置及应急处理能力，提升其专业技能水平，促进区域企业整体安全素质的提升。</w:t>
      </w:r>
    </w:p>
    <w:p w14:paraId="15451C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本装置应能够满足以下内容的培训学习与考核：</w:t>
      </w:r>
    </w:p>
    <w:tbl>
      <w:tblPr>
        <w:tblStyle w:val="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1625"/>
        <w:gridCol w:w="2342"/>
        <w:gridCol w:w="4412"/>
      </w:tblGrid>
      <w:tr w14:paraId="7498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1D82212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844" w:type="pct"/>
            <w:noWrap w:val="0"/>
            <w:vAlign w:val="center"/>
          </w:tcPr>
          <w:p w14:paraId="5E792B7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培训类别</w:t>
            </w:r>
          </w:p>
        </w:tc>
        <w:tc>
          <w:tcPr>
            <w:tcW w:w="1216" w:type="pct"/>
            <w:noWrap w:val="0"/>
            <w:vAlign w:val="center"/>
          </w:tcPr>
          <w:p w14:paraId="17B33CC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分项内容</w:t>
            </w:r>
          </w:p>
        </w:tc>
        <w:tc>
          <w:tcPr>
            <w:tcW w:w="2291" w:type="pct"/>
            <w:noWrap w:val="0"/>
            <w:vAlign w:val="center"/>
          </w:tcPr>
          <w:p w14:paraId="0FF982C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题目名称</w:t>
            </w:r>
          </w:p>
        </w:tc>
      </w:tr>
      <w:tr w14:paraId="7DA6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3485EDB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844" w:type="pct"/>
            <w:vMerge w:val="restart"/>
            <w:noWrap w:val="0"/>
            <w:vAlign w:val="center"/>
          </w:tcPr>
          <w:p w14:paraId="00A8EAE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工艺操作与控制</w:t>
            </w:r>
          </w:p>
        </w:tc>
        <w:tc>
          <w:tcPr>
            <w:tcW w:w="1216" w:type="pct"/>
            <w:noWrap w:val="0"/>
            <w:vAlign w:val="center"/>
          </w:tcPr>
          <w:p w14:paraId="4E9A10A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装置开停车操作</w:t>
            </w:r>
          </w:p>
        </w:tc>
        <w:tc>
          <w:tcPr>
            <w:tcW w:w="2291" w:type="pct"/>
            <w:noWrap w:val="0"/>
            <w:vAlign w:val="center"/>
          </w:tcPr>
          <w:p w14:paraId="07251268">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1.开车前准备工作；</w:t>
            </w:r>
          </w:p>
          <w:p w14:paraId="59AD89D0">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2.开车操作；</w:t>
            </w:r>
          </w:p>
          <w:p w14:paraId="45903C1B">
            <w:pPr>
              <w:pStyle w:val="22"/>
              <w:spacing w:line="240" w:lineRule="auto"/>
              <w:ind w:left="0" w:leftChars="0" w:firstLine="0" w:firstLineChars="0"/>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3.停车操作。</w:t>
            </w:r>
          </w:p>
        </w:tc>
      </w:tr>
      <w:tr w14:paraId="4278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70F66DB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844" w:type="pct"/>
            <w:vMerge w:val="continue"/>
            <w:noWrap w:val="0"/>
            <w:vAlign w:val="center"/>
          </w:tcPr>
          <w:p w14:paraId="71963FE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2B98937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装置安全隐患排查</w:t>
            </w:r>
          </w:p>
        </w:tc>
        <w:tc>
          <w:tcPr>
            <w:tcW w:w="2291" w:type="pct"/>
            <w:noWrap w:val="0"/>
            <w:vAlign w:val="center"/>
          </w:tcPr>
          <w:p w14:paraId="7AA8DA30">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color w:val="auto"/>
                <w:sz w:val="21"/>
                <w:szCs w:val="21"/>
                <w:highlight w:val="none"/>
                <w:lang w:val="en-US" w:eastAsia="zh-CN"/>
              </w:rPr>
              <w:t>硝化反应釜飞温</w:t>
            </w:r>
            <w:r>
              <w:rPr>
                <w:rFonts w:hint="eastAsia" w:ascii="宋体" w:hAnsi="宋体" w:eastAsia="宋体" w:cs="宋体"/>
                <w:i w:val="0"/>
                <w:iCs w:val="0"/>
                <w:color w:val="auto"/>
                <w:sz w:val="21"/>
                <w:szCs w:val="21"/>
                <w:highlight w:val="none"/>
                <w:u w:val="none"/>
                <w:lang w:val="en-US" w:eastAsia="zh-CN"/>
              </w:rPr>
              <w:t>；</w:t>
            </w:r>
          </w:p>
          <w:p w14:paraId="48A27F45">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color w:val="auto"/>
                <w:sz w:val="21"/>
                <w:szCs w:val="21"/>
                <w:highlight w:val="none"/>
                <w:lang w:val="en-US" w:eastAsia="zh-CN"/>
              </w:rPr>
              <w:t>硝化反应釜超压</w:t>
            </w:r>
            <w:r>
              <w:rPr>
                <w:rFonts w:hint="eastAsia" w:ascii="宋体" w:hAnsi="宋体" w:eastAsia="宋体" w:cs="宋体"/>
                <w:i w:val="0"/>
                <w:iCs w:val="0"/>
                <w:color w:val="auto"/>
                <w:sz w:val="21"/>
                <w:szCs w:val="21"/>
                <w:highlight w:val="none"/>
                <w:u w:val="none"/>
                <w:lang w:val="en-US" w:eastAsia="zh-CN"/>
              </w:rPr>
              <w:t>；</w:t>
            </w:r>
          </w:p>
          <w:p w14:paraId="6379B80C">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color w:val="auto"/>
                <w:sz w:val="21"/>
                <w:szCs w:val="21"/>
                <w:highlight w:val="none"/>
                <w:lang w:val="en-US" w:eastAsia="zh-CN"/>
              </w:rPr>
              <w:t>粗硝基苯泵跳停</w:t>
            </w:r>
            <w:r>
              <w:rPr>
                <w:rFonts w:hint="eastAsia" w:ascii="宋体" w:hAnsi="宋体" w:eastAsia="宋体" w:cs="宋体"/>
                <w:i w:val="0"/>
                <w:iCs w:val="0"/>
                <w:color w:val="auto"/>
                <w:sz w:val="21"/>
                <w:szCs w:val="21"/>
                <w:highlight w:val="none"/>
                <w:u w:val="none"/>
                <w:lang w:val="en-US" w:eastAsia="zh-CN"/>
              </w:rPr>
              <w:t>。</w:t>
            </w:r>
          </w:p>
        </w:tc>
      </w:tr>
      <w:tr w14:paraId="6623C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14BDFEA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844" w:type="pct"/>
            <w:vMerge w:val="continue"/>
            <w:noWrap w:val="0"/>
            <w:vAlign w:val="center"/>
          </w:tcPr>
          <w:p w14:paraId="6356F16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6D1D0CD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装置安全应急处置</w:t>
            </w:r>
          </w:p>
        </w:tc>
        <w:tc>
          <w:tcPr>
            <w:tcW w:w="2291" w:type="pct"/>
            <w:noWrap w:val="0"/>
            <w:vAlign w:val="center"/>
          </w:tcPr>
          <w:p w14:paraId="415F3A3C">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color w:val="auto"/>
                <w:sz w:val="21"/>
                <w:szCs w:val="21"/>
                <w:highlight w:val="none"/>
                <w:lang w:val="en-US" w:eastAsia="zh-CN"/>
              </w:rPr>
              <w:t>尾气冷凝器管程</w:t>
            </w:r>
            <w:r>
              <w:rPr>
                <w:rFonts w:hint="eastAsia" w:ascii="宋体" w:hAnsi="宋体" w:eastAsia="宋体" w:cs="宋体"/>
                <w:color w:val="auto"/>
                <w:sz w:val="21"/>
                <w:szCs w:val="21"/>
                <w:highlight w:val="none"/>
              </w:rPr>
              <w:t>出口法兰泄漏</w:t>
            </w:r>
            <w:r>
              <w:rPr>
                <w:rFonts w:hint="eastAsia" w:ascii="宋体" w:hAnsi="宋体" w:eastAsia="宋体" w:cs="宋体"/>
                <w:i w:val="0"/>
                <w:iCs w:val="0"/>
                <w:color w:val="auto"/>
                <w:sz w:val="21"/>
                <w:szCs w:val="21"/>
                <w:highlight w:val="none"/>
                <w:u w:val="none"/>
                <w:lang w:val="en-US" w:eastAsia="zh-CN"/>
              </w:rPr>
              <w:t>；</w:t>
            </w:r>
          </w:p>
          <w:p w14:paraId="4378670C">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color w:val="auto"/>
                <w:sz w:val="21"/>
                <w:szCs w:val="21"/>
                <w:highlight w:val="none"/>
                <w:lang w:val="en-US" w:eastAsia="zh-CN"/>
              </w:rPr>
              <w:t>反应釜顶部</w:t>
            </w:r>
            <w:r>
              <w:rPr>
                <w:rFonts w:hint="eastAsia" w:ascii="宋体" w:hAnsi="宋体" w:eastAsia="宋体" w:cs="宋体"/>
                <w:color w:val="auto"/>
                <w:sz w:val="21"/>
                <w:szCs w:val="21"/>
                <w:highlight w:val="none"/>
              </w:rPr>
              <w:t>法兰泄漏</w:t>
            </w:r>
            <w:r>
              <w:rPr>
                <w:rFonts w:hint="eastAsia" w:ascii="宋体" w:hAnsi="宋体" w:eastAsia="宋体" w:cs="宋体"/>
                <w:color w:val="auto"/>
                <w:sz w:val="21"/>
                <w:szCs w:val="21"/>
                <w:highlight w:val="none"/>
                <w:lang w:val="en-US" w:eastAsia="zh-CN"/>
              </w:rPr>
              <w:t>有人中毒</w:t>
            </w:r>
            <w:r>
              <w:rPr>
                <w:rFonts w:hint="eastAsia" w:ascii="宋体" w:hAnsi="宋体" w:eastAsia="宋体" w:cs="宋体"/>
                <w:i w:val="0"/>
                <w:iCs w:val="0"/>
                <w:color w:val="auto"/>
                <w:sz w:val="21"/>
                <w:szCs w:val="21"/>
                <w:highlight w:val="none"/>
                <w:u w:val="none"/>
                <w:lang w:val="en-US" w:eastAsia="zh-CN"/>
              </w:rPr>
              <w:t>；</w:t>
            </w:r>
          </w:p>
          <w:p w14:paraId="3605CC45">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color w:val="auto"/>
                <w:sz w:val="21"/>
                <w:szCs w:val="21"/>
                <w:highlight w:val="none"/>
                <w:lang w:val="en-US" w:eastAsia="zh-CN"/>
              </w:rPr>
              <w:t>粗硝基苯泵出口阀</w:t>
            </w:r>
            <w:r>
              <w:rPr>
                <w:rFonts w:hint="eastAsia" w:ascii="宋体" w:hAnsi="宋体" w:eastAsia="宋体" w:cs="宋体"/>
                <w:color w:val="auto"/>
                <w:sz w:val="21"/>
                <w:szCs w:val="21"/>
                <w:highlight w:val="none"/>
              </w:rPr>
              <w:t>法兰泄漏</w:t>
            </w:r>
            <w:r>
              <w:rPr>
                <w:rFonts w:hint="eastAsia" w:ascii="宋体" w:hAnsi="宋体" w:eastAsia="宋体" w:cs="宋体"/>
                <w:color w:val="auto"/>
                <w:sz w:val="21"/>
                <w:szCs w:val="21"/>
                <w:highlight w:val="none"/>
                <w:lang w:val="en-US" w:eastAsia="zh-CN"/>
              </w:rPr>
              <w:t>着火</w:t>
            </w:r>
            <w:r>
              <w:rPr>
                <w:rFonts w:hint="eastAsia" w:ascii="宋体" w:hAnsi="宋体" w:eastAsia="宋体" w:cs="宋体"/>
                <w:i w:val="0"/>
                <w:iCs w:val="0"/>
                <w:color w:val="auto"/>
                <w:sz w:val="21"/>
                <w:szCs w:val="21"/>
                <w:highlight w:val="none"/>
                <w:u w:val="none"/>
                <w:lang w:val="en-US" w:eastAsia="zh-CN"/>
              </w:rPr>
              <w:t>。</w:t>
            </w:r>
          </w:p>
        </w:tc>
      </w:tr>
      <w:tr w14:paraId="29EE0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37B8426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844" w:type="pct"/>
            <w:vMerge w:val="restart"/>
            <w:noWrap w:val="0"/>
            <w:vAlign w:val="center"/>
          </w:tcPr>
          <w:p w14:paraId="7B4B69A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工艺安全技术实操培训与考试</w:t>
            </w:r>
          </w:p>
        </w:tc>
        <w:tc>
          <w:tcPr>
            <w:tcW w:w="1216" w:type="pct"/>
            <w:noWrap w:val="0"/>
            <w:vAlign w:val="center"/>
          </w:tcPr>
          <w:p w14:paraId="361CDAC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作业现场安全隐患排查</w:t>
            </w:r>
          </w:p>
        </w:tc>
        <w:tc>
          <w:tcPr>
            <w:tcW w:w="2291" w:type="pct"/>
            <w:noWrap w:val="0"/>
            <w:vAlign w:val="center"/>
          </w:tcPr>
          <w:p w14:paraId="5E9E700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06DBAEA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原料泵入口管线堵；</w:t>
            </w:r>
          </w:p>
          <w:p w14:paraId="7366BBD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原料泵抽空；</w:t>
            </w:r>
          </w:p>
          <w:p w14:paraId="42646F7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停电事故；</w:t>
            </w:r>
          </w:p>
          <w:p w14:paraId="0AF02D8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原料泵坏；</w:t>
            </w:r>
          </w:p>
          <w:p w14:paraId="4C3CACF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出料流量控制阀阀卡。</w:t>
            </w:r>
          </w:p>
          <w:p w14:paraId="5FF6E00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167E608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换热器结垢；</w:t>
            </w:r>
          </w:p>
          <w:p w14:paraId="05C4F6C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装置停电；</w:t>
            </w:r>
          </w:p>
          <w:p w14:paraId="4D69239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装置冷物料中断事故；</w:t>
            </w:r>
          </w:p>
          <w:p w14:paraId="3E220C4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冷物流泵坏；</w:t>
            </w:r>
          </w:p>
          <w:p w14:paraId="07816DB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热物流泵坏。</w:t>
            </w:r>
          </w:p>
          <w:p w14:paraId="4F728F7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w:t>
            </w:r>
            <w:r>
              <w:rPr>
                <w:rFonts w:hint="eastAsia" w:ascii="宋体" w:hAnsi="宋体" w:eastAsia="宋体" w:cs="宋体"/>
                <w:i w:val="0"/>
                <w:color w:val="auto"/>
                <w:kern w:val="0"/>
                <w:sz w:val="21"/>
                <w:szCs w:val="21"/>
                <w:u w:val="none"/>
                <w:lang w:val="en-US" w:eastAsia="zh-CN" w:bidi="ar"/>
              </w:rPr>
              <w:t>分馏塔</w:t>
            </w:r>
            <w:r>
              <w:rPr>
                <w:rFonts w:hint="eastAsia" w:ascii="宋体" w:hAnsi="宋体" w:eastAsia="宋体" w:cs="宋体"/>
                <w:i w:val="0"/>
                <w:iCs w:val="0"/>
                <w:color w:val="auto"/>
                <w:kern w:val="2"/>
                <w:sz w:val="21"/>
                <w:szCs w:val="21"/>
                <w:lang w:val="en-US" w:eastAsia="zh-CN" w:bidi="ar-SA"/>
              </w:rPr>
              <w:t>：</w:t>
            </w:r>
          </w:p>
          <w:p w14:paraId="2FD7583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7A31EA3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停原料事故；</w:t>
            </w:r>
          </w:p>
          <w:p w14:paraId="38183D9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停燃料气事故。</w:t>
            </w:r>
          </w:p>
          <w:p w14:paraId="2E430AF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4.精馏塔：</w:t>
            </w:r>
          </w:p>
          <w:p w14:paraId="645D1DE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冷却水供应不足事故；</w:t>
            </w:r>
          </w:p>
          <w:p w14:paraId="37EB9C8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3537253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原料中断事故；</w:t>
            </w:r>
          </w:p>
          <w:p w14:paraId="042F0DF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停蒸汽；</w:t>
            </w:r>
          </w:p>
          <w:p w14:paraId="70B9223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回流中断。</w:t>
            </w:r>
          </w:p>
          <w:p w14:paraId="55D942A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5.釜式反应器：</w:t>
            </w:r>
          </w:p>
          <w:p w14:paraId="3238E7E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69171CC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kern w:val="2"/>
                <w:sz w:val="21"/>
                <w:szCs w:val="21"/>
                <w:lang w:val="en-US" w:eastAsia="zh-CN" w:bidi="ar-SA"/>
              </w:rPr>
              <w:t>原料中断。</w:t>
            </w:r>
          </w:p>
        </w:tc>
      </w:tr>
      <w:tr w14:paraId="13E5C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77FC148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844" w:type="pct"/>
            <w:vMerge w:val="continue"/>
            <w:noWrap w:val="0"/>
            <w:vAlign w:val="center"/>
          </w:tcPr>
          <w:p w14:paraId="04E7417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0499260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作业现场应急处置</w:t>
            </w:r>
          </w:p>
        </w:tc>
        <w:tc>
          <w:tcPr>
            <w:tcW w:w="2291" w:type="pct"/>
            <w:noWrap w:val="0"/>
            <w:vAlign w:val="center"/>
          </w:tcPr>
          <w:p w14:paraId="1443086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036BC6B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离心泵机械密封泄露着火应急预案；</w:t>
            </w:r>
          </w:p>
          <w:p w14:paraId="1D6CC87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离心泵出口法兰泄露有人中毒应急预案；</w:t>
            </w:r>
          </w:p>
          <w:p w14:paraId="5821236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出料流量控制阀前法兰泄露着火应急预案；</w:t>
            </w:r>
          </w:p>
          <w:p w14:paraId="247FAAF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泵出口法兰泄露着火应急预案。</w:t>
            </w:r>
          </w:p>
          <w:p w14:paraId="0D39905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1E7C446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冷物料泵出口法兰泄露着火事故应急预案；</w:t>
            </w:r>
          </w:p>
          <w:p w14:paraId="6E8C95C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换热器热物料出口法兰泄露着火事故应急预案；</w:t>
            </w:r>
          </w:p>
          <w:p w14:paraId="0D72776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换热器热物料出口法兰有人中毒应急预案。</w:t>
            </w:r>
          </w:p>
          <w:p w14:paraId="7E0B670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w:t>
            </w:r>
            <w:r>
              <w:rPr>
                <w:rFonts w:hint="eastAsia" w:ascii="宋体" w:hAnsi="宋体" w:eastAsia="宋体" w:cs="宋体"/>
                <w:i w:val="0"/>
                <w:color w:val="auto"/>
                <w:sz w:val="21"/>
                <w:szCs w:val="21"/>
                <w:u w:val="none"/>
                <w:lang w:eastAsia="zh-CN"/>
              </w:rPr>
              <w:t>分馏塔</w:t>
            </w:r>
            <w:r>
              <w:rPr>
                <w:rFonts w:hint="eastAsia" w:ascii="宋体" w:hAnsi="宋体" w:eastAsia="宋体" w:cs="宋体"/>
                <w:i w:val="0"/>
                <w:iCs w:val="0"/>
                <w:color w:val="auto"/>
                <w:kern w:val="2"/>
                <w:sz w:val="21"/>
                <w:szCs w:val="21"/>
                <w:lang w:val="en-US" w:eastAsia="zh-CN" w:bidi="ar-SA"/>
              </w:rPr>
              <w:t>：</w:t>
            </w:r>
          </w:p>
          <w:p w14:paraId="5A26024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加热炉出口法兰泄漏着火应急预案；</w:t>
            </w:r>
          </w:p>
          <w:p w14:paraId="49909FA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分馏塔釜采出泵出口法兰泄漏着火应急预案；</w:t>
            </w:r>
          </w:p>
          <w:p w14:paraId="5DF319B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分馏塔顶泵出口法兰泄漏伤人应急预案。</w:t>
            </w:r>
          </w:p>
          <w:p w14:paraId="050A513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4.精馏塔：</w:t>
            </w:r>
          </w:p>
          <w:p w14:paraId="75E6D8B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回流罐切水阀法兰泄漏着火应急预案；</w:t>
            </w:r>
          </w:p>
          <w:p w14:paraId="53593EE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机械密封泄漏着火应急预案；</w:t>
            </w:r>
          </w:p>
          <w:p w14:paraId="2A3D508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塔釜出口法兰泄漏应急预案。</w:t>
            </w:r>
          </w:p>
          <w:p w14:paraId="20246ED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5.釜式反应器：</w:t>
            </w:r>
          </w:p>
          <w:p w14:paraId="47803848">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进料阀法兰泄漏着火；</w:t>
            </w:r>
          </w:p>
          <w:p w14:paraId="50AE0C84">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己烷进料泵机械密封泄漏着火；</w:t>
            </w:r>
          </w:p>
          <w:p w14:paraId="5E5119B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第一反应器乙烯进料调节阀法兰泄漏有人中毒。</w:t>
            </w:r>
          </w:p>
        </w:tc>
      </w:tr>
    </w:tbl>
    <w:p w14:paraId="08EB6AF9">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3.2.</w:t>
      </w:r>
      <w:r>
        <w:rPr>
          <w:rFonts w:hint="eastAsia" w:ascii="宋体" w:hAnsi="宋体" w:eastAsia="宋体" w:cs="宋体"/>
          <w:color w:val="auto"/>
          <w:sz w:val="24"/>
          <w:szCs w:val="24"/>
          <w:lang w:val="en-US" w:eastAsia="zh-CN"/>
        </w:rPr>
        <w:t>装置设计要求</w:t>
      </w:r>
    </w:p>
    <w:p w14:paraId="204DBC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①系统可以展示工艺报警联锁指标一览表、报警和联锁动作。</w:t>
      </w:r>
    </w:p>
    <w:p w14:paraId="7741F7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智能仪表设计要求：仿真模拟智能仪表包括流量显示仪表、温度显示仪表、压力显示仪表、液位计和分析仪表。可以实现仿真模拟运行参数的远传与显示，并可与通讯模块、控制系统、现场执行机构构成完整的控制回路，实现多参数、多策略的过程控制。</w:t>
      </w:r>
    </w:p>
    <w:p w14:paraId="7693D7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③紧急停车系统要求：重要监控指标与模拟SIS控制系统相结合，实现关键设备的联锁保护、紧急停车。</w:t>
      </w:r>
    </w:p>
    <w:p w14:paraId="7C94D3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④执行机构及现场阀门设计要求：装置执行机构、现场阀门可以和控制系统进行通讯。执行机构与阀门的操作与实际一致，模拟采集型号多样，如开关阀、切断阀采用开关量信号，调节阀、开度阀采用模拟量信号；信号的不同，系统参数调节的变量亦不相同，达到真实的培训效果。</w:t>
      </w:r>
    </w:p>
    <w:p w14:paraId="653DC5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⑤动设备设计要求：动设备的外购与真实的设备一致，现场控制时采用防爆接线盒，控制系统可以监控运行状态。</w:t>
      </w:r>
    </w:p>
    <w:p w14:paraId="742E0B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⑥事故模拟系统设计要求：装置能通过声、光、电、烟雾手段，形象逼真地展现事故触发时的现场状态，各种事故模拟设施隐蔽设置。</w:t>
      </w:r>
    </w:p>
    <w:p w14:paraId="5ACDF5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⑦警戒隔离系统：设置警戒隔离系统，用于设备警戒隔离。同样，警戒隔离系统可以用于事故模拟时的现场封锁，可以与考核系统建立通讯并识别操作动作。</w:t>
      </w:r>
    </w:p>
    <w:p w14:paraId="7034F4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⑧可实现实操培训与考核全过程的智能化，即场景的自动设置与调整、人员实操行为的自动检测与智能评判、实操培训与考核的全程无人值守、培训软硬件设施的一体化集中管控、培训数据的自动分析与实时查询。</w:t>
      </w:r>
    </w:p>
    <w:p w14:paraId="110799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lang w:val="en-US" w:eastAsia="zh-CN"/>
        </w:rPr>
      </w:pPr>
      <w:r>
        <w:rPr>
          <w:rFonts w:hint="eastAsia" w:ascii="宋体" w:hAnsi="宋体" w:eastAsia="宋体" w:cs="宋体"/>
          <w:b w:val="0"/>
          <w:bCs w:val="0"/>
          <w:color w:val="auto"/>
          <w:sz w:val="24"/>
          <w:szCs w:val="24"/>
          <w:highlight w:val="none"/>
          <w:lang w:val="en-US" w:eastAsia="zh-CN"/>
        </w:rPr>
        <w:t>⑨自动评分系统设计：危化工艺考评系统包括硬件和软件两部分组成，硬件包括数据采集模块、控制模块、电源模块、通讯转换器组成，软件部分由定制考核软件组成，系统通过软件与现场控制站模块通讯采集数据、控制运算、控制输出，实现数据交互，根据危化工艺操作步骤，将现场操作数据传送至软件之后，实现危化工艺操作的记录与考核。全程无需人工干预，客观公正，教考分离。</w:t>
      </w:r>
    </w:p>
    <w:p w14:paraId="24CCF399">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3.3.工艺</w:t>
      </w:r>
      <w:r>
        <w:rPr>
          <w:rFonts w:hint="eastAsia" w:ascii="宋体" w:hAnsi="宋体" w:eastAsia="宋体" w:cs="宋体"/>
          <w:color w:val="auto"/>
          <w:sz w:val="24"/>
          <w:szCs w:val="24"/>
          <w:lang w:val="en-US" w:eastAsia="zh-CN"/>
        </w:rPr>
        <w:t>简介</w:t>
      </w:r>
    </w:p>
    <w:p w14:paraId="7F699B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硝化是有机化合物分子中引入硝基（-NO2）的反应，最常见的是取代反应。硝化方法可分成直接硝化法、间接硝化法和亚硝化法，分别用于生产硝基化合物、硝铵、硝酸酯和亚硝基化合物。涉及硝化反应的工艺过程为硝化工艺。一般为放热反应。重点监控单元包含硝化反应器和分离单元。</w:t>
      </w:r>
    </w:p>
    <w:p w14:paraId="6C90A1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工艺危险特点：反应速度快，放热量大。大多数硝化反应是在非均相中进行的，反应组分的不均匀分布容易引起局部过热导致危险。尤其在硝化反应开始阶段，停止搅拌或由于搅拌叶片脱落造成搅拌失效是非常危险的，一旦搅拌再次开动，就会突然引发局部激烈反应，瞬间释放大量的热量，引起爆炸事故；反应物料具有燃爆危险性；硝化剂具有强腐蚀性、强氧化性，与油脂、有机化合物（尤其是不饱和有机化合物）接触能引起燃烧或爆炸；硝化产物、副产物具有爆炸危</w:t>
      </w:r>
      <w:r>
        <w:rPr>
          <w:rFonts w:hint="eastAsia" w:ascii="宋体" w:hAnsi="宋体" w:eastAsia="宋体" w:cs="宋体"/>
          <w:b w:val="0"/>
          <w:bCs w:val="0"/>
          <w:color w:val="auto"/>
          <w:sz w:val="24"/>
          <w:szCs w:val="24"/>
          <w:highlight w:val="none"/>
          <w:lang w:val="en-US" w:eastAsia="zh-CN"/>
        </w:rPr>
        <w:t>险性。</w:t>
      </w:r>
    </w:p>
    <w:p w14:paraId="59C9C6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本装置工艺：</w:t>
      </w:r>
    </w:p>
    <w:p w14:paraId="1636E8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本装置采用的是甲苯制备三硝基甲苯。</w:t>
      </w:r>
    </w:p>
    <w:p w14:paraId="1E804D8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drawing>
          <wp:inline distT="0" distB="0" distL="114300" distR="114300">
            <wp:extent cx="4143375" cy="1001395"/>
            <wp:effectExtent l="0" t="0" r="1905" b="444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icPr>
                  <pic:blipFill>
                    <a:blip r:embed="rId10"/>
                    <a:stretch>
                      <a:fillRect/>
                    </a:stretch>
                  </pic:blipFill>
                  <pic:spPr>
                    <a:xfrm>
                      <a:off x="0" y="0"/>
                      <a:ext cx="4143375" cy="1001395"/>
                    </a:xfrm>
                    <a:prstGeom prst="rect">
                      <a:avLst/>
                    </a:prstGeom>
                    <a:noFill/>
                    <a:ln>
                      <a:noFill/>
                    </a:ln>
                  </pic:spPr>
                </pic:pic>
              </a:graphicData>
            </a:graphic>
          </wp:inline>
        </w:drawing>
      </w:r>
    </w:p>
    <w:p w14:paraId="78C418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将来自罐区的甲苯通入硝化釜中，然后加入配置好的混酸溶液，混酸中的浓硫酸为催化剂，浓硝酸为硝化剂，搅拌升温后，打开底阀经换热后送往下个工段。</w:t>
      </w:r>
    </w:p>
    <w:p w14:paraId="44FA04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定量的硫酸和硝酸加入混酸釜R101，在搅拌M101的作用下充分混合后，经离心泵P-102输送至硝化釜R102，与来自罐区的甲苯按比例混合，发生硝化反应；由于是吸热反应，硝化釜R102与混酸釜R101均为夹套式换热器，夹套内通低压蒸汽用于物料的加热。夹套蒸汽的进料量由釜内温度控制。</w:t>
      </w:r>
    </w:p>
    <w:p w14:paraId="1F5456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硝化产物主要为三硝基甲苯，并含有部分的邻硝基甲苯和对硝基甲苯，硝化产物经冷凝器E201循环水冷却后，去后续分离单元。</w:t>
      </w:r>
    </w:p>
    <w:p w14:paraId="39110348">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3.4.</w:t>
      </w:r>
      <w:r>
        <w:rPr>
          <w:rFonts w:hint="eastAsia" w:ascii="宋体" w:hAnsi="宋体" w:eastAsia="宋体" w:cs="宋体"/>
          <w:color w:val="auto"/>
          <w:sz w:val="24"/>
          <w:szCs w:val="24"/>
          <w:lang w:val="en-US" w:eastAsia="zh-CN"/>
        </w:rPr>
        <w:t>安全控制要求</w:t>
      </w:r>
    </w:p>
    <w:p w14:paraId="78F8A3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反应釜温度的报警和联锁；自动进料控制和联锁；紧急冷却系统；搅拌的稳定控制和联锁系统；分离系统温度控制与联锁；塔釜杂质监控系统；安全泄放系统。</w:t>
      </w:r>
    </w:p>
    <w:p w14:paraId="1881E85D">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3.5.采用</w:t>
      </w:r>
      <w:r>
        <w:rPr>
          <w:rFonts w:hint="eastAsia" w:ascii="宋体" w:hAnsi="宋体" w:eastAsia="宋体" w:cs="宋体"/>
          <w:color w:val="auto"/>
          <w:sz w:val="24"/>
          <w:szCs w:val="24"/>
          <w:lang w:val="en-US" w:eastAsia="zh-CN"/>
        </w:rPr>
        <w:t>的控制方式</w:t>
      </w:r>
    </w:p>
    <w:p w14:paraId="5169BB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将硝化反应温度与釜内搅拌、硝化剂流量、硝化反应釜夹套冷却水进水阀形成联锁关系，在硝化反应釜处设立紧急停车系统，当硝化反应温度超标或搅拌系统发生故障，能自动报警并自动停止加料。分离系统温度与加热、冷却形成联锁，温度超标时，能停止加热并紧急冷却。</w:t>
      </w:r>
    </w:p>
    <w:p w14:paraId="596110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硝化反应系统应设有泄爆管和紧急排放系统。</w:t>
      </w:r>
    </w:p>
    <w:p w14:paraId="33188B0E">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3.6.</w:t>
      </w:r>
      <w:r>
        <w:rPr>
          <w:rFonts w:hint="eastAsia" w:ascii="宋体" w:hAnsi="宋体" w:eastAsia="宋体" w:cs="宋体"/>
          <w:color w:val="auto"/>
          <w:sz w:val="24"/>
          <w:szCs w:val="24"/>
          <w:lang w:val="en-US" w:eastAsia="zh-CN"/>
        </w:rPr>
        <w:t>重点监控工艺参数</w:t>
      </w:r>
    </w:p>
    <w:p w14:paraId="703990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硝化反应温度、搅拌速率；硝化剂流量；冷却水流量；pH值；硝化产物中杂质含量；精馏分离系统温度；塔釜杂质含量。</w:t>
      </w:r>
    </w:p>
    <w:p w14:paraId="59A8B388">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3.7.</w:t>
      </w:r>
      <w:r>
        <w:rPr>
          <w:rFonts w:hint="eastAsia" w:ascii="宋体" w:hAnsi="宋体" w:eastAsia="宋体" w:cs="宋体"/>
          <w:color w:val="auto"/>
          <w:sz w:val="24"/>
          <w:szCs w:val="24"/>
          <w:lang w:val="en-US" w:eastAsia="zh-CN"/>
        </w:rPr>
        <w:t>危化工艺安全考核软件要求</w:t>
      </w:r>
    </w:p>
    <w:p w14:paraId="5F3AF9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该软件应结合《安监总宣教〔2014〕139号国家安全监管总局关于印发特种作业安全技术实际操作考试标准及考试点设备配备标准（试行）的通知》的标准设计开发，能够用于危化生产从业人员培训和考试的考培系统，软件涉及的工艺流程、科目3（作业现场安全隐患排除，简称K3）和科目4（作业现场应急处置，简称K4）考试内容、考试评分标准内容需结合《特种作业安全技术实际操作考试标准（试行）》的标准来设计开发。</w:t>
      </w:r>
    </w:p>
    <w:p w14:paraId="717AC8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软件应包含但不限于以下功能：</w:t>
      </w:r>
    </w:p>
    <w:p w14:paraId="3691EC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①操作软件采用DCS模拟仿真技术，以DCS组态界面的形式呈现工艺与场景的操作流程。</w:t>
      </w:r>
    </w:p>
    <w:p w14:paraId="1F5419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②作业现场安全隐患排除包括停电、停蒸汽、停冷却水、物料中断、泵坏、阀卡常见的工艺事故，作业现场应急处置包括着火、泄漏、中毒典型的安全事故。</w:t>
      </w:r>
    </w:p>
    <w:p w14:paraId="6D83A5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③系统后台运行动态的模拟数据，并配有相应的智能评分系统，对学员的操作进行智能判断并给出成绩。</w:t>
      </w:r>
    </w:p>
    <w:p w14:paraId="5CA0E2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作业现场应急处置操作过程中设有班长、内操、外操、安全员多种不同的角色；人物角色具有装备穿戴选择和工具选择功能；角色之间具备对话交流情节功能；软件具有事故应急预案广播通知功能；在组态界面中可实现警戒线设置、消防车引导、救护车引导、灭火器使用、消防水炮启用。</w:t>
      </w:r>
    </w:p>
    <w:p w14:paraId="663693E8">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3.8.</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lang w:val="en-US" w:eastAsia="zh-CN"/>
        </w:rPr>
        <w:t>主要参数</w:t>
      </w:r>
    </w:p>
    <w:tbl>
      <w:tblPr>
        <w:tblStyle w:val="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2"/>
        <w:gridCol w:w="1433"/>
        <w:gridCol w:w="5946"/>
        <w:gridCol w:w="724"/>
        <w:gridCol w:w="793"/>
      </w:tblGrid>
      <w:tr w14:paraId="79A96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62BA87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7B65EE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名称</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655EF0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规格型号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5240E7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数量</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DBF1C5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单位</w:t>
            </w:r>
          </w:p>
        </w:tc>
      </w:tr>
      <w:tr w14:paraId="4D9D1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305C9B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bCs/>
                <w:i w:val="0"/>
                <w:iCs w:val="0"/>
                <w:color w:val="auto"/>
                <w:kern w:val="0"/>
                <w:sz w:val="21"/>
                <w:szCs w:val="21"/>
                <w:highlight w:val="none"/>
                <w:u w:val="none"/>
                <w:lang w:val="en-US" w:eastAsia="zh-CN" w:bidi="ar"/>
              </w:rPr>
              <w:t>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61171E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框架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65A83E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kern w:val="0"/>
                <w:sz w:val="21"/>
                <w:szCs w:val="21"/>
                <w:highlight w:val="none"/>
                <w:lang w:bidi="ar"/>
              </w:rPr>
              <w:t>框架尺寸长×宽×高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3250</w:t>
            </w:r>
            <w:r>
              <w:rPr>
                <w:rFonts w:hint="eastAsia" w:ascii="宋体" w:hAnsi="宋体" w:eastAsia="宋体" w:cs="宋体"/>
                <w:color w:val="auto"/>
                <w:kern w:val="0"/>
                <w:sz w:val="21"/>
                <w:szCs w:val="21"/>
                <w:highlight w:val="none"/>
                <w:lang w:bidi="ar"/>
              </w:rPr>
              <w:t>mm，</w:t>
            </w:r>
            <w:r>
              <w:rPr>
                <w:rFonts w:hint="eastAsia" w:ascii="宋体" w:hAnsi="宋体" w:eastAsia="宋体" w:cs="宋体"/>
                <w:color w:val="auto"/>
                <w:kern w:val="0"/>
                <w:sz w:val="21"/>
                <w:szCs w:val="21"/>
                <w:highlight w:val="none"/>
                <w:lang w:eastAsia="zh-CN" w:bidi="ar"/>
              </w:rPr>
              <w:t>设备尺寸</w:t>
            </w:r>
            <w:r>
              <w:rPr>
                <w:rFonts w:hint="eastAsia" w:ascii="宋体" w:hAnsi="宋体" w:eastAsia="宋体" w:cs="宋体"/>
                <w:color w:val="auto"/>
                <w:kern w:val="0"/>
                <w:sz w:val="21"/>
                <w:szCs w:val="21"/>
                <w:highlight w:val="none"/>
                <w:lang w:bidi="ar"/>
              </w:rPr>
              <w:t>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3570</w:t>
            </w:r>
            <w:r>
              <w:rPr>
                <w:rFonts w:hint="eastAsia" w:ascii="宋体" w:hAnsi="宋体" w:eastAsia="宋体" w:cs="宋体"/>
                <w:color w:val="auto"/>
                <w:kern w:val="0"/>
                <w:sz w:val="21"/>
                <w:szCs w:val="21"/>
                <w:highlight w:val="none"/>
                <w:lang w:bidi="ar"/>
              </w:rPr>
              <w:t>mm。此设备框架立柱型材规格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150*150*7*10mmH型钢。框架为钢结构二层平台带楼梯，一层方便人员进入操作；二层平台主梁型材规格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150*150*7*10mmH型钢，次梁型材规格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100*50*4mm冷弯型钢、</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60*40*4mm冷弯型钢及5#等边角铁。平台铺板型号规格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3mm（含扁豆纹高度）热轧花纹钢板。护栏型材规格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40*40*2mm冷弯型钢，护栏踢脚板型材规格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100*3mm扁钢。楼梯型材规格为180*50*20*3mmC型钢，楼梯踏板</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700*250*4mm（含扁豆纹高度）热轧花纹钢板折弯件。</w:t>
            </w:r>
            <w:r>
              <w:rPr>
                <w:rFonts w:hint="eastAsia" w:ascii="宋体" w:hAnsi="宋体" w:eastAsia="宋体" w:cs="宋体"/>
                <w:i w:val="0"/>
                <w:iCs w:val="0"/>
                <w:color w:val="auto"/>
                <w:kern w:val="0"/>
                <w:sz w:val="21"/>
                <w:szCs w:val="21"/>
                <w:highlight w:val="none"/>
                <w:u w:val="none"/>
                <w:lang w:val="en-US" w:eastAsia="zh-CN" w:bidi="ar"/>
              </w:rPr>
              <w:t>两层设计，带步梯和栏杆。</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CCC5BF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0F9803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79281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2A7068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i w:val="0"/>
                <w:iCs w:val="0"/>
                <w:color w:val="auto"/>
                <w:kern w:val="0"/>
                <w:sz w:val="21"/>
                <w:szCs w:val="21"/>
                <w:highlight w:val="none"/>
                <w:u w:val="none"/>
                <w:lang w:val="en-US" w:eastAsia="zh-CN" w:bidi="ar"/>
              </w:rPr>
              <w:t>2</w:t>
            </w:r>
          </w:p>
        </w:tc>
        <w:tc>
          <w:tcPr>
            <w:tcW w:w="743" w:type="pct"/>
            <w:tcBorders>
              <w:top w:val="single" w:color="000000" w:sz="4" w:space="0"/>
              <w:left w:val="single" w:color="000000" w:sz="4" w:space="0"/>
              <w:bottom w:val="single" w:color="000000" w:sz="4" w:space="0"/>
              <w:right w:val="single" w:color="000000" w:sz="4" w:space="0"/>
            </w:tcBorders>
            <w:noWrap/>
            <w:vAlign w:val="bottom"/>
          </w:tcPr>
          <w:p w14:paraId="1C76250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混酸槽</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E4B239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≥377*400mm，带搅拌电机，304不锈钢镜面。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2D66F0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389392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3041A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C9E967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743" w:type="pct"/>
            <w:tcBorders>
              <w:top w:val="single" w:color="000000" w:sz="4" w:space="0"/>
              <w:left w:val="single" w:color="000000" w:sz="4" w:space="0"/>
              <w:bottom w:val="single" w:color="000000" w:sz="4" w:space="0"/>
              <w:right w:val="single" w:color="000000" w:sz="4" w:space="0"/>
            </w:tcBorders>
            <w:noWrap/>
            <w:vAlign w:val="bottom"/>
          </w:tcPr>
          <w:p w14:paraId="5AB2596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硝化反应釜</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142105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≥600*800mm，带搅拌电机，304不锈钢镜面。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37841F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01178D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31ECE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C90E33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9C4D81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尾气冷凝器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ED4395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≥325*900mmmm，列管换热器，304不锈钢镜面。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DF16E1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447367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1E1A3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F90A15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273B01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自重力分离器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40030F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≥377*1200mm，立式，304不锈钢镜面。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DE852D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0EC438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1970C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DC1677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09C91E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气液分离槽</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9983C5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≥377*1200mm，立式，304不锈钢镜面。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5F5223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2CBA1D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2F9E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1F6B92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3298C4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粗硝基苯泵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8A7F76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825A8B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0E8E13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69A15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F64168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D659EF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粗硝基苯备泵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CE2E26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D8EA23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BBEF22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3CB2F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8F9CA7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024297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温度计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83F570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仿真温度计，4—20mA信号输入，液晶显示。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5760C9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8C0C02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6A8CD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08C82A9">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639B49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压力表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7A11C4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仿真压力表，4—20mA信号输入，液晶显示数值或指针压力表，指针可动。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5115C5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372092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15969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1534A0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C2DC04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流量计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A7363C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仿真流量计，4—20mA信号输入，液晶显示数值。</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3C9CA8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AD5BE4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1C98D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0F36D8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B0E553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液位计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8FA6E3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仿真液位计，4—20mA信号输入。</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9274E9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2335DF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78E3C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668FC4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086FC1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手动阀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BBB78B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仿真球阀和截止阀，开关量现场显示和远传。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E5C272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AD0122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1133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8D134D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CF070A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833D4B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自动调节阀和电磁阀，其中调节阀开度值现场显示和远传，电磁阀远传显示。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003BAB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F71928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1D636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A67224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65D58F0">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报警器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D9E2303">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模拟现场可燃气体报警和有毒气体报警，声光显示。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CF36E9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C50304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53703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D5E1F1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9A7CE97">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报警灯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5519F32">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119报警灯，用于事故的警示、紧急救援的预警，声光报警。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BAD47D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B04BD6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56E8F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FE9162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30E8E6B">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泄漏模拟系统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FAF13C3">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rPr>
              <w:t>模拟泄漏事故现象，配合考核系统完成泄漏事故操作。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F2431B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473554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0ABB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01D929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A2202FD">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着火模拟系统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45A14D8">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模拟着火事故现象，配合考核系统完成着火事故操作。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CE37E5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486647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F97F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9CD8C9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5C4092C">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灭火模拟系统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7A69A1F">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模拟灭火器的</w:t>
            </w:r>
            <w:r>
              <w:rPr>
                <w:rFonts w:hint="eastAsia" w:ascii="宋体" w:hAnsi="宋体" w:eastAsia="宋体" w:cs="宋体"/>
                <w:color w:val="auto"/>
                <w:kern w:val="0"/>
                <w:sz w:val="21"/>
                <w:szCs w:val="21"/>
                <w:highlight w:val="none"/>
                <w:lang w:eastAsia="zh-CN"/>
              </w:rPr>
              <w:t>使用</w:t>
            </w:r>
            <w:r>
              <w:rPr>
                <w:rFonts w:hint="eastAsia" w:ascii="宋体" w:hAnsi="宋体" w:eastAsia="宋体" w:cs="宋体"/>
                <w:color w:val="auto"/>
                <w:kern w:val="0"/>
                <w:sz w:val="21"/>
                <w:szCs w:val="21"/>
                <w:highlight w:val="none"/>
              </w:rPr>
              <w:t>，配合考核系统完成相应事故操作。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E5FAB1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CEC311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63FB5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17FDCD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15C3414">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警戒隔离模拟系统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B79E450">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模拟设置警戒隔离区域，配合考核系统完成相应事故操作。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139C0F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6AB16C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74501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975ECA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896F37E">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模拟接地系统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9DA56DC">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静电接地线、静电跨接带。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E0B59A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C19FA8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3014C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B05EDA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3FBE9A1">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模拟静电消除</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2402F3A">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静电释放器。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3B5459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D7F966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5B02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B66EE4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BF72DC1">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行为智能检测</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BBBCF44">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人员实操行为的自动检测与智能评判，配套智能摄像头与智能评判软件。</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B23596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6AF71D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5F00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7525B5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710790A">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集中管控系统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4334F52">
            <w:pPr>
              <w:keepNext w:val="0"/>
              <w:keepLines w:val="0"/>
              <w:pageBreakBefore w:val="0"/>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电气系统一键开关，配套空开与管控系统。</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0E1DCA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4B3A65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2168E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C5D28C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CD9268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其他阀门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A02A82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与设备、工艺、管线配套。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3C02C4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F05B7B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7D025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902492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750200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紧固件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FE617F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与法兰，阀门，框架、支架配合；螺栓和垫片的材质与本工艺的设备、管件以及涉及的物料相匹配。</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4BF880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A4EBF1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0E254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AF9ACB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F615CF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智能仪表电器控制柜</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D6DB91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供电电压220V。智能仪表电器控制台：钢制喷塑材质，内安装有配电盘、旋钮式强电开关控制、分相电压表、急停按钮，配电盘上安装有漏电保护器、24V开关电源，接触器，固态继电器，AO模块、AI模块、DO模块、DI模块，信号线均采用屏蔽线，电源线均采用国标阻燃线，电线通过工业级喷塑桥架（或镀锌桥架）与现场装置、仪表连接，强电弱电分离，杜绝信号干扰。</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41A899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7BB6C5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r>
      <w:tr w14:paraId="4F344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CF4D11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04B890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智能考试终端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3C87F6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CPU：核心≥6，线程≥12，智能缓存≥18MB；内存：4GB；独显：≥2G；硬盘：≥128G固态硬盘。 </w:t>
            </w:r>
          </w:p>
          <w:p w14:paraId="44B83A6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≥21.5 英寸WLED液晶显示器/串口，配无线网卡、键鼠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DE3298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38C7D8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0AFA2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6EE11E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29</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4F5A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yellow"/>
                <w:lang w:val="en-US" w:eastAsia="zh-CN"/>
              </w:rPr>
            </w:pPr>
            <w:r>
              <w:rPr>
                <w:rFonts w:hint="eastAsia" w:ascii="宋体" w:hAnsi="宋体" w:eastAsia="宋体" w:cs="宋体"/>
                <w:i w:val="0"/>
                <w:iCs w:val="0"/>
                <w:color w:val="auto"/>
                <w:kern w:val="0"/>
                <w:sz w:val="21"/>
                <w:szCs w:val="21"/>
                <w:highlight w:val="none"/>
                <w:u w:val="none"/>
                <w:lang w:val="en-US" w:eastAsia="zh-CN" w:bidi="ar"/>
              </w:rPr>
              <w:t>软件</w:t>
            </w:r>
          </w:p>
        </w:tc>
        <w:tc>
          <w:tcPr>
            <w:tcW w:w="30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54C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yellow"/>
                <w:lang w:val="en-US" w:eastAsia="zh-CN"/>
              </w:rPr>
            </w:pPr>
            <w:r>
              <w:rPr>
                <w:rFonts w:hint="eastAsia" w:ascii="宋体" w:hAnsi="宋体" w:eastAsia="宋体" w:cs="宋体"/>
                <w:i w:val="0"/>
                <w:iCs w:val="0"/>
                <w:color w:val="auto"/>
                <w:kern w:val="0"/>
                <w:sz w:val="21"/>
                <w:szCs w:val="21"/>
                <w:highlight w:val="none"/>
                <w:u w:val="none"/>
                <w:lang w:val="en-US" w:eastAsia="zh-CN" w:bidi="ar"/>
              </w:rPr>
              <w:t>满足</w:t>
            </w:r>
            <w:r>
              <w:rPr>
                <w:rFonts w:hint="eastAsia" w:ascii="宋体" w:hAnsi="宋体" w:eastAsia="宋体" w:cs="宋体"/>
                <w:b w:val="0"/>
                <w:bCs w:val="0"/>
                <w:color w:val="auto"/>
                <w:kern w:val="0"/>
                <w:sz w:val="21"/>
                <w:szCs w:val="21"/>
                <w:highlight w:val="none"/>
                <w:u w:val="none"/>
                <w:lang w:val="en-US" w:eastAsia="zh-CN" w:bidi="ar"/>
              </w:rPr>
              <w:t>《安监总宣教〔2014〕139号国家安全监管总局关于印发特种作业安全技术实际操作考试标准及考试点设备配备标准（试行）的通知》</w:t>
            </w:r>
            <w:r>
              <w:rPr>
                <w:rFonts w:hint="eastAsia" w:ascii="宋体" w:hAnsi="宋体" w:cs="宋体"/>
                <w:b w:val="0"/>
                <w:bCs w:val="0"/>
                <w:color w:val="auto"/>
                <w:kern w:val="0"/>
                <w:sz w:val="21"/>
                <w:szCs w:val="21"/>
                <w:highlight w:val="none"/>
                <w:u w:val="none"/>
                <w:lang w:val="en-US" w:eastAsia="zh-CN" w:bidi="ar"/>
              </w:rPr>
              <w:t>的培训考核项目要求</w:t>
            </w:r>
            <w:r>
              <w:rPr>
                <w:rFonts w:hint="eastAsia" w:ascii="宋体" w:hAnsi="宋体" w:eastAsia="宋体" w:cs="宋体"/>
                <w:i w:val="0"/>
                <w:iCs w:val="0"/>
                <w:color w:val="auto"/>
                <w:kern w:val="0"/>
                <w:sz w:val="21"/>
                <w:szCs w:val="21"/>
                <w:highlight w:val="none"/>
                <w:u w:val="none"/>
                <w:lang w:val="en-US" w:eastAsia="zh-CN" w:bidi="ar"/>
              </w:rPr>
              <w:t>，支撑考核设备具备随机模拟产生各作业工艺操作过程中相应的紧急情况，实现紧急处置操作考核的功能；具备网络自动出题、考核结束设备智能判分的功能。</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4904F6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78B416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bl>
    <w:p w14:paraId="5995E4AB">
      <w:pPr>
        <w:keepNext/>
        <w:keepLines/>
        <w:pageBreakBefore w:val="0"/>
        <w:widowControl w:val="0"/>
        <w:numPr>
          <w:ilvl w:val="1"/>
          <w:numId w:val="0"/>
        </w:numPr>
        <w:kinsoku/>
        <w:wordWrap/>
        <w:overflowPunct/>
        <w:topLinePunct w:val="0"/>
        <w:autoSpaceDE/>
        <w:autoSpaceDN/>
        <w:bidi w:val="0"/>
        <w:adjustRightInd/>
        <w:snapToGrid/>
        <w:spacing w:before="0" w:beforeLines="0" w:after="0" w:line="360" w:lineRule="auto"/>
        <w:textAlignment w:val="auto"/>
        <w:outlineLvl w:val="9"/>
        <w:rPr>
          <w:rFonts w:hint="eastAsia" w:ascii="宋体" w:hAnsi="宋体" w:eastAsia="宋体" w:cs="宋体"/>
          <w:b/>
          <w:bCs w:val="0"/>
          <w:color w:val="auto"/>
          <w:kern w:val="2"/>
          <w:sz w:val="28"/>
          <w:szCs w:val="22"/>
          <w:lang w:val="en-US" w:eastAsia="zh-CN" w:bidi="ar-SA"/>
        </w:rPr>
      </w:pPr>
      <w:bookmarkStart w:id="219" w:name="_Toc23281"/>
      <w:bookmarkStart w:id="220" w:name="_Toc21193"/>
      <w:bookmarkStart w:id="221" w:name="_Toc28718"/>
    </w:p>
    <w:p w14:paraId="1C66150C">
      <w:pPr>
        <w:pStyle w:val="4"/>
        <w:keepNext/>
        <w:keepLines/>
        <w:pageBreakBefore w:val="0"/>
        <w:widowControl w:val="0"/>
        <w:numPr>
          <w:ilvl w:val="1"/>
          <w:numId w:val="0"/>
        </w:numPr>
        <w:kinsoku/>
        <w:wordWrap/>
        <w:overflowPunct/>
        <w:topLinePunct w:val="0"/>
        <w:autoSpaceDE/>
        <w:autoSpaceDN/>
        <w:bidi w:val="0"/>
        <w:adjustRightInd/>
        <w:snapToGrid/>
        <w:spacing w:before="0" w:beforeLines="0" w:after="0" w:line="360" w:lineRule="auto"/>
        <w:jc w:val="left"/>
        <w:textAlignment w:val="auto"/>
        <w:outlineLvl w:val="2"/>
        <w:rPr>
          <w:rFonts w:hint="eastAsia" w:ascii="宋体" w:hAnsi="宋体" w:eastAsia="宋体" w:cs="宋体"/>
          <w:b/>
          <w:bCs w:val="0"/>
          <w:color w:val="auto"/>
          <w:sz w:val="28"/>
          <w:szCs w:val="22"/>
          <w:lang w:val="en-US" w:eastAsia="zh-CN"/>
        </w:rPr>
      </w:pPr>
      <w:r>
        <w:rPr>
          <w:rFonts w:hint="eastAsia" w:ascii="宋体" w:hAnsi="宋体" w:eastAsia="宋体" w:cs="宋体"/>
          <w:b/>
          <w:bCs w:val="0"/>
          <w:color w:val="auto"/>
          <w:kern w:val="2"/>
          <w:sz w:val="28"/>
          <w:szCs w:val="22"/>
          <w:lang w:val="en-US" w:eastAsia="zh-CN" w:bidi="ar-SA"/>
        </w:rPr>
        <w:t>（四）</w:t>
      </w:r>
      <w:r>
        <w:rPr>
          <w:rFonts w:hint="eastAsia" w:ascii="宋体" w:hAnsi="宋体" w:eastAsia="宋体" w:cs="宋体"/>
          <w:b/>
          <w:bCs w:val="0"/>
          <w:color w:val="auto"/>
          <w:sz w:val="28"/>
          <w:szCs w:val="22"/>
          <w:lang w:val="en-US" w:eastAsia="zh-CN"/>
        </w:rPr>
        <w:t>加氢工艺作业实操考培装置</w:t>
      </w:r>
      <w:bookmarkEnd w:id="219"/>
      <w:bookmarkEnd w:id="220"/>
      <w:bookmarkEnd w:id="221"/>
    </w:p>
    <w:p w14:paraId="7C6D58D5">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4.1.</w:t>
      </w:r>
      <w:r>
        <w:rPr>
          <w:rFonts w:hint="eastAsia" w:ascii="宋体" w:hAnsi="宋体" w:eastAsia="宋体" w:cs="宋体"/>
          <w:color w:val="auto"/>
          <w:sz w:val="24"/>
          <w:szCs w:val="24"/>
          <w:lang w:val="en-US" w:eastAsia="zh-CN"/>
        </w:rPr>
        <w:t>装置概述</w:t>
      </w:r>
    </w:p>
    <w:p w14:paraId="3E218CDA">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本系统需基于实际装置的工艺流程、化工过程原理、设备工作原理、质量平衡、能量平衡，应符合《特种作业安全技术实际操作考试标准》要求，具有高仿真精度的数学机理模型。</w:t>
      </w:r>
    </w:p>
    <w:p w14:paraId="004C33F6">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系统应满足在校学生、化工企业安全管理人员、特种作业人员、从业人员及安全监察监管人员的职业能力提升和专项技能实训需求，能够开展本工艺的生产工艺流程、工艺危险特点、重点监控的设备单元与工艺指标、安全控制的基本要求及自动控制方式与联锁设置内容的实训与考核工作。</w:t>
      </w:r>
    </w:p>
    <w:p w14:paraId="28F5B0A6">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本系统精简实际生产的化工工艺，保留特定的化工单元，编制开停车培训内容，有助于了解工艺危险特点和重点监控工艺参数设置原理。</w:t>
      </w:r>
    </w:p>
    <w:p w14:paraId="35FDD656">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通过实训与考核，学员应能够全面掌握本工艺的生产流程、安全控制要求、紧急情况处置及应急处理能力，提升其专业技能水平，促进区域企业整体安全素质的提升。</w:t>
      </w:r>
    </w:p>
    <w:p w14:paraId="3DA5E2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本装置应能够满足以下内容的培训学习与考核：</w:t>
      </w:r>
    </w:p>
    <w:tbl>
      <w:tblPr>
        <w:tblStyle w:val="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1625"/>
        <w:gridCol w:w="2342"/>
        <w:gridCol w:w="4412"/>
      </w:tblGrid>
      <w:tr w14:paraId="3412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6F10D9C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844" w:type="pct"/>
            <w:noWrap w:val="0"/>
            <w:vAlign w:val="center"/>
          </w:tcPr>
          <w:p w14:paraId="481CB84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培训类别</w:t>
            </w:r>
          </w:p>
        </w:tc>
        <w:tc>
          <w:tcPr>
            <w:tcW w:w="1216" w:type="pct"/>
            <w:noWrap w:val="0"/>
            <w:vAlign w:val="center"/>
          </w:tcPr>
          <w:p w14:paraId="4815A76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分项内容</w:t>
            </w:r>
          </w:p>
        </w:tc>
        <w:tc>
          <w:tcPr>
            <w:tcW w:w="2291" w:type="pct"/>
            <w:noWrap w:val="0"/>
            <w:vAlign w:val="center"/>
          </w:tcPr>
          <w:p w14:paraId="6F3A69A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题目名称</w:t>
            </w:r>
          </w:p>
        </w:tc>
      </w:tr>
      <w:tr w14:paraId="78282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102DF64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844" w:type="pct"/>
            <w:vMerge w:val="restart"/>
            <w:noWrap w:val="0"/>
            <w:vAlign w:val="center"/>
          </w:tcPr>
          <w:p w14:paraId="5A7AA1A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工艺操作与控制</w:t>
            </w:r>
          </w:p>
        </w:tc>
        <w:tc>
          <w:tcPr>
            <w:tcW w:w="1216" w:type="pct"/>
            <w:noWrap w:val="0"/>
            <w:vAlign w:val="center"/>
          </w:tcPr>
          <w:p w14:paraId="4E609CC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装置开停车操作</w:t>
            </w:r>
          </w:p>
        </w:tc>
        <w:tc>
          <w:tcPr>
            <w:tcW w:w="2291" w:type="pct"/>
            <w:noWrap w:val="0"/>
            <w:vAlign w:val="center"/>
          </w:tcPr>
          <w:p w14:paraId="5122B3D9">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1.开车前准备工作；</w:t>
            </w:r>
          </w:p>
          <w:p w14:paraId="7DC44C7F">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2.开车操作；</w:t>
            </w:r>
          </w:p>
          <w:p w14:paraId="27DFA40D">
            <w:pPr>
              <w:pStyle w:val="22"/>
              <w:spacing w:line="240" w:lineRule="auto"/>
              <w:ind w:left="0" w:leftChars="0" w:firstLine="0" w:firstLineChars="0"/>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3.停车操作。</w:t>
            </w:r>
          </w:p>
        </w:tc>
      </w:tr>
      <w:tr w14:paraId="726F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4188DC0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844" w:type="pct"/>
            <w:vMerge w:val="continue"/>
            <w:noWrap w:val="0"/>
            <w:vAlign w:val="center"/>
          </w:tcPr>
          <w:p w14:paraId="7FFB974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62ABB06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装置安全隐患排查</w:t>
            </w:r>
          </w:p>
        </w:tc>
        <w:tc>
          <w:tcPr>
            <w:tcW w:w="2291" w:type="pct"/>
            <w:noWrap w:val="0"/>
            <w:vAlign w:val="center"/>
          </w:tcPr>
          <w:p w14:paraId="4ECE04BD">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color w:val="auto"/>
                <w:sz w:val="21"/>
                <w:szCs w:val="21"/>
                <w:highlight w:val="none"/>
                <w:lang w:val="en-US" w:eastAsia="zh-CN"/>
              </w:rPr>
              <w:t>加氢精制反应器飞温</w:t>
            </w:r>
            <w:r>
              <w:rPr>
                <w:rFonts w:hint="eastAsia" w:ascii="宋体" w:hAnsi="宋体" w:eastAsia="宋体" w:cs="宋体"/>
                <w:i w:val="0"/>
                <w:iCs w:val="0"/>
                <w:color w:val="auto"/>
                <w:sz w:val="21"/>
                <w:szCs w:val="21"/>
                <w:highlight w:val="none"/>
                <w:u w:val="none"/>
                <w:lang w:val="en-US" w:eastAsia="zh-CN"/>
              </w:rPr>
              <w:t>；</w:t>
            </w:r>
          </w:p>
          <w:p w14:paraId="38EB566F">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color w:val="auto"/>
                <w:sz w:val="21"/>
                <w:szCs w:val="21"/>
                <w:highlight w:val="none"/>
                <w:lang w:val="en-US" w:eastAsia="zh-CN"/>
              </w:rPr>
              <w:t>压力控制阀卡导致高压分离器压力高</w:t>
            </w:r>
            <w:r>
              <w:rPr>
                <w:rFonts w:hint="eastAsia" w:ascii="宋体" w:hAnsi="宋体" w:eastAsia="宋体" w:cs="宋体"/>
                <w:i w:val="0"/>
                <w:iCs w:val="0"/>
                <w:color w:val="auto"/>
                <w:sz w:val="21"/>
                <w:szCs w:val="21"/>
                <w:highlight w:val="none"/>
                <w:u w:val="none"/>
                <w:lang w:val="en-US" w:eastAsia="zh-CN"/>
              </w:rPr>
              <w:t>；</w:t>
            </w:r>
          </w:p>
          <w:p w14:paraId="5FEB88CF">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color w:val="auto"/>
                <w:sz w:val="21"/>
                <w:szCs w:val="21"/>
                <w:highlight w:val="none"/>
                <w:lang w:val="en-US" w:eastAsia="zh-CN"/>
              </w:rPr>
              <w:t>加氢精制反应器压力高高</w:t>
            </w:r>
            <w:r>
              <w:rPr>
                <w:rFonts w:hint="eastAsia" w:ascii="宋体" w:hAnsi="宋体" w:eastAsia="宋体" w:cs="宋体"/>
                <w:i w:val="0"/>
                <w:iCs w:val="0"/>
                <w:color w:val="auto"/>
                <w:sz w:val="21"/>
                <w:szCs w:val="21"/>
                <w:highlight w:val="none"/>
                <w:u w:val="none"/>
                <w:lang w:val="en-US" w:eastAsia="zh-CN"/>
              </w:rPr>
              <w:t>。</w:t>
            </w:r>
          </w:p>
        </w:tc>
      </w:tr>
      <w:tr w14:paraId="4768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6129684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844" w:type="pct"/>
            <w:vMerge w:val="continue"/>
            <w:noWrap w:val="0"/>
            <w:vAlign w:val="center"/>
          </w:tcPr>
          <w:p w14:paraId="6BCF5B9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763DB20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装置安全应急处置</w:t>
            </w:r>
          </w:p>
        </w:tc>
        <w:tc>
          <w:tcPr>
            <w:tcW w:w="2291" w:type="pct"/>
            <w:noWrap w:val="0"/>
            <w:vAlign w:val="center"/>
          </w:tcPr>
          <w:p w14:paraId="4A4ED562">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color w:val="auto"/>
                <w:sz w:val="21"/>
                <w:szCs w:val="21"/>
                <w:highlight w:val="none"/>
                <w:lang w:val="en-US" w:eastAsia="zh-CN"/>
              </w:rPr>
              <w:t>预热器管程出口法兰泄漏伤人应急预案</w:t>
            </w:r>
            <w:r>
              <w:rPr>
                <w:rFonts w:hint="eastAsia" w:ascii="宋体" w:hAnsi="宋体" w:eastAsia="宋体" w:cs="宋体"/>
                <w:i w:val="0"/>
                <w:iCs w:val="0"/>
                <w:color w:val="auto"/>
                <w:sz w:val="21"/>
                <w:szCs w:val="21"/>
                <w:highlight w:val="none"/>
                <w:u w:val="none"/>
                <w:lang w:val="en-US" w:eastAsia="zh-CN"/>
              </w:rPr>
              <w:t>；</w:t>
            </w:r>
          </w:p>
          <w:p w14:paraId="53921764">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color w:val="auto"/>
                <w:sz w:val="21"/>
                <w:szCs w:val="21"/>
                <w:highlight w:val="none"/>
                <w:lang w:val="en-US" w:eastAsia="zh-CN"/>
              </w:rPr>
              <w:t>高压分离器底部法兰</w:t>
            </w:r>
            <w:r>
              <w:rPr>
                <w:rFonts w:hint="eastAsia" w:ascii="宋体" w:hAnsi="宋体" w:eastAsia="宋体" w:cs="宋体"/>
                <w:color w:val="auto"/>
                <w:sz w:val="21"/>
                <w:szCs w:val="21"/>
                <w:highlight w:val="none"/>
              </w:rPr>
              <w:t>泄漏</w:t>
            </w:r>
            <w:r>
              <w:rPr>
                <w:rFonts w:hint="eastAsia" w:ascii="宋体" w:hAnsi="宋体" w:eastAsia="宋体" w:cs="宋体"/>
                <w:color w:val="auto"/>
                <w:sz w:val="21"/>
                <w:szCs w:val="21"/>
                <w:highlight w:val="none"/>
                <w:vertAlign w:val="baseline"/>
                <w:lang w:val="en-US" w:eastAsia="zh-CN"/>
              </w:rPr>
              <w:t>应急预案</w:t>
            </w:r>
            <w:r>
              <w:rPr>
                <w:rFonts w:hint="eastAsia" w:ascii="宋体" w:hAnsi="宋体" w:eastAsia="宋体" w:cs="宋体"/>
                <w:i w:val="0"/>
                <w:iCs w:val="0"/>
                <w:color w:val="auto"/>
                <w:sz w:val="21"/>
                <w:szCs w:val="21"/>
                <w:highlight w:val="none"/>
                <w:u w:val="none"/>
                <w:lang w:val="en-US" w:eastAsia="zh-CN"/>
              </w:rPr>
              <w:t>；</w:t>
            </w:r>
          </w:p>
          <w:p w14:paraId="25B42215">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color w:val="auto"/>
                <w:sz w:val="21"/>
                <w:szCs w:val="21"/>
                <w:highlight w:val="none"/>
                <w:lang w:val="en-US" w:eastAsia="zh-CN"/>
              </w:rPr>
              <w:t>反应器出口调节阀法兰泄漏着火应急预案</w:t>
            </w:r>
            <w:r>
              <w:rPr>
                <w:rFonts w:hint="eastAsia" w:ascii="宋体" w:hAnsi="宋体" w:eastAsia="宋体" w:cs="宋体"/>
                <w:i w:val="0"/>
                <w:iCs w:val="0"/>
                <w:color w:val="auto"/>
                <w:sz w:val="21"/>
                <w:szCs w:val="21"/>
                <w:highlight w:val="none"/>
                <w:u w:val="none"/>
                <w:lang w:val="en-US" w:eastAsia="zh-CN"/>
              </w:rPr>
              <w:t>。</w:t>
            </w:r>
          </w:p>
        </w:tc>
      </w:tr>
      <w:tr w14:paraId="53D42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0B7B745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844" w:type="pct"/>
            <w:vMerge w:val="restart"/>
            <w:noWrap w:val="0"/>
            <w:vAlign w:val="center"/>
          </w:tcPr>
          <w:p w14:paraId="7D5AED9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工艺安全技术实操培训与考试</w:t>
            </w:r>
          </w:p>
        </w:tc>
        <w:tc>
          <w:tcPr>
            <w:tcW w:w="1216" w:type="pct"/>
            <w:noWrap w:val="0"/>
            <w:vAlign w:val="center"/>
          </w:tcPr>
          <w:p w14:paraId="2C59658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作业现场安全隐患排查</w:t>
            </w:r>
          </w:p>
        </w:tc>
        <w:tc>
          <w:tcPr>
            <w:tcW w:w="2291" w:type="pct"/>
            <w:noWrap w:val="0"/>
            <w:vAlign w:val="center"/>
          </w:tcPr>
          <w:p w14:paraId="0DB1EB8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7D47E65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原料泵入口管线堵；</w:t>
            </w:r>
          </w:p>
          <w:p w14:paraId="4CAC0BE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原料泵抽空；</w:t>
            </w:r>
          </w:p>
          <w:p w14:paraId="46BE041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停电事故；</w:t>
            </w:r>
          </w:p>
          <w:p w14:paraId="28F1D6A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原料泵坏；</w:t>
            </w:r>
          </w:p>
          <w:p w14:paraId="691DA2F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出料流量控制阀阀卡。</w:t>
            </w:r>
          </w:p>
          <w:p w14:paraId="2253694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5196977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换热器结垢；</w:t>
            </w:r>
          </w:p>
          <w:p w14:paraId="214D3C2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装置停电；</w:t>
            </w:r>
          </w:p>
          <w:p w14:paraId="6CD4297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装置冷物料中断事故；</w:t>
            </w:r>
          </w:p>
          <w:p w14:paraId="02729D8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冷物流泵坏；</w:t>
            </w:r>
          </w:p>
          <w:p w14:paraId="0B207A0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热物流泵坏。</w:t>
            </w:r>
          </w:p>
          <w:p w14:paraId="68E0B89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w:t>
            </w:r>
            <w:r>
              <w:rPr>
                <w:rFonts w:hint="eastAsia" w:ascii="宋体" w:hAnsi="宋体" w:eastAsia="宋体" w:cs="宋体"/>
                <w:i w:val="0"/>
                <w:color w:val="auto"/>
                <w:kern w:val="0"/>
                <w:sz w:val="21"/>
                <w:szCs w:val="21"/>
                <w:highlight w:val="none"/>
                <w:u w:val="none"/>
                <w:lang w:val="en-US" w:eastAsia="zh-CN" w:bidi="ar"/>
              </w:rPr>
              <w:t>加热炉</w:t>
            </w:r>
            <w:r>
              <w:rPr>
                <w:rFonts w:hint="eastAsia" w:ascii="宋体" w:hAnsi="宋体" w:eastAsia="宋体" w:cs="宋体"/>
                <w:i w:val="0"/>
                <w:iCs w:val="0"/>
                <w:color w:val="auto"/>
                <w:kern w:val="2"/>
                <w:sz w:val="21"/>
                <w:szCs w:val="21"/>
                <w:lang w:val="en-US" w:eastAsia="zh-CN" w:bidi="ar-SA"/>
              </w:rPr>
              <w:t>：</w:t>
            </w:r>
          </w:p>
          <w:p w14:paraId="05EE266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原料中断；</w:t>
            </w:r>
          </w:p>
          <w:p w14:paraId="366BC46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燃料中断；</w:t>
            </w:r>
          </w:p>
          <w:p w14:paraId="0388025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鼓风机停。</w:t>
            </w:r>
          </w:p>
          <w:p w14:paraId="75B7709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w:t>
            </w:r>
            <w:r>
              <w:rPr>
                <w:rFonts w:hint="eastAsia" w:ascii="宋体" w:hAnsi="宋体" w:eastAsia="宋体" w:cs="宋体"/>
                <w:i w:val="0"/>
                <w:color w:val="auto"/>
                <w:kern w:val="0"/>
                <w:sz w:val="21"/>
                <w:szCs w:val="21"/>
                <w:highlight w:val="none"/>
                <w:u w:val="none"/>
                <w:lang w:val="en-US" w:eastAsia="zh-CN" w:bidi="ar"/>
              </w:rPr>
              <w:t>分馏塔</w:t>
            </w:r>
            <w:r>
              <w:rPr>
                <w:rFonts w:hint="eastAsia" w:ascii="宋体" w:hAnsi="宋体" w:eastAsia="宋体" w:cs="宋体"/>
                <w:i w:val="0"/>
                <w:iCs w:val="0"/>
                <w:color w:val="auto"/>
                <w:kern w:val="2"/>
                <w:sz w:val="21"/>
                <w:szCs w:val="21"/>
                <w:lang w:val="en-US" w:eastAsia="zh-CN" w:bidi="ar-SA"/>
              </w:rPr>
              <w:t>：</w:t>
            </w:r>
          </w:p>
          <w:p w14:paraId="0E77F70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366894A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停原料事故；</w:t>
            </w:r>
          </w:p>
          <w:p w14:paraId="22439E9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停燃料气事故。</w:t>
            </w:r>
          </w:p>
          <w:p w14:paraId="7D8962E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5.循环氢压缩系统：</w:t>
            </w:r>
          </w:p>
          <w:p w14:paraId="2321C76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循环氢压差高；</w:t>
            </w:r>
          </w:p>
          <w:p w14:paraId="5E1DA95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润滑油温度高；</w:t>
            </w:r>
          </w:p>
          <w:p w14:paraId="7ADE70F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润滑油压力低；</w:t>
            </w:r>
          </w:p>
          <w:p w14:paraId="5E7A324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复水器液位高。</w:t>
            </w:r>
          </w:p>
          <w:p w14:paraId="3A51DE1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6.</w:t>
            </w:r>
            <w:r>
              <w:rPr>
                <w:rFonts w:hint="eastAsia" w:ascii="宋体" w:hAnsi="宋体" w:eastAsia="宋体" w:cs="宋体"/>
                <w:i w:val="0"/>
                <w:color w:val="auto"/>
                <w:sz w:val="21"/>
                <w:szCs w:val="21"/>
                <w:highlight w:val="none"/>
                <w:u w:val="none"/>
                <w:lang w:val="en-US" w:eastAsia="zh-CN"/>
              </w:rPr>
              <w:t>加氢反应系统</w:t>
            </w:r>
            <w:r>
              <w:rPr>
                <w:rFonts w:hint="eastAsia" w:ascii="宋体" w:hAnsi="宋体" w:eastAsia="宋体" w:cs="宋体"/>
                <w:i w:val="0"/>
                <w:iCs w:val="0"/>
                <w:color w:val="auto"/>
                <w:kern w:val="2"/>
                <w:sz w:val="21"/>
                <w:szCs w:val="21"/>
                <w:lang w:val="en-US" w:eastAsia="zh-CN" w:bidi="ar-SA"/>
              </w:rPr>
              <w:t>：</w:t>
            </w:r>
          </w:p>
          <w:p w14:paraId="556CDD1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6E917F9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新氢供应中断；</w:t>
            </w:r>
          </w:p>
          <w:p w14:paraId="2AD3E7B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kern w:val="2"/>
                <w:sz w:val="21"/>
                <w:szCs w:val="21"/>
                <w:lang w:val="en-US" w:eastAsia="zh-CN" w:bidi="ar-SA"/>
              </w:rPr>
              <w:t>循环氢压缩机停机。</w:t>
            </w:r>
          </w:p>
        </w:tc>
      </w:tr>
      <w:tr w14:paraId="728BC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16F5152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844" w:type="pct"/>
            <w:vMerge w:val="continue"/>
            <w:noWrap w:val="0"/>
            <w:vAlign w:val="center"/>
          </w:tcPr>
          <w:p w14:paraId="44701F9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40E628D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作业现场应急处置</w:t>
            </w:r>
          </w:p>
        </w:tc>
        <w:tc>
          <w:tcPr>
            <w:tcW w:w="2291" w:type="pct"/>
            <w:noWrap w:val="0"/>
            <w:vAlign w:val="center"/>
          </w:tcPr>
          <w:p w14:paraId="2EA2914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46FCE5F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离心泵机械密封泄露着火应急预案；</w:t>
            </w:r>
          </w:p>
          <w:p w14:paraId="7899599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离心泵出口法兰泄露有人中毒应急预案；</w:t>
            </w:r>
          </w:p>
          <w:p w14:paraId="0EA7399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出料流量控制阀前法兰泄露着火应急预案；</w:t>
            </w:r>
          </w:p>
          <w:p w14:paraId="223B978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泵出口法兰泄露着火应急预案。</w:t>
            </w:r>
          </w:p>
          <w:p w14:paraId="02F2F2E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28E3CEB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冷物料泵出口法兰泄露着火事故应急预案；</w:t>
            </w:r>
          </w:p>
          <w:p w14:paraId="7D665E3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换热器热物料出口法兰泄露着火事故应急预案；</w:t>
            </w:r>
          </w:p>
          <w:p w14:paraId="7F053CA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换热器热物料出口法兰有人中毒应急预案。</w:t>
            </w:r>
          </w:p>
          <w:p w14:paraId="18D007F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3.加热炉：</w:t>
            </w:r>
          </w:p>
          <w:p w14:paraId="61FACFF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原料泵出口法兰泄漏着火应急预案；</w:t>
            </w:r>
          </w:p>
          <w:p w14:paraId="077D5E6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加热炉炉管破裂应急预案；</w:t>
            </w:r>
          </w:p>
          <w:p w14:paraId="30276E3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燃料气分液罐安全阀法兰泄漏着火应急处置。</w:t>
            </w:r>
          </w:p>
          <w:p w14:paraId="638D728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w:t>
            </w:r>
            <w:r>
              <w:rPr>
                <w:rFonts w:hint="eastAsia" w:ascii="宋体" w:hAnsi="宋体" w:eastAsia="宋体" w:cs="宋体"/>
                <w:i w:val="0"/>
                <w:color w:val="auto"/>
                <w:sz w:val="21"/>
                <w:szCs w:val="21"/>
                <w:highlight w:val="none"/>
                <w:u w:val="none"/>
                <w:lang w:eastAsia="zh-CN"/>
              </w:rPr>
              <w:t>分馏塔</w:t>
            </w:r>
            <w:r>
              <w:rPr>
                <w:rFonts w:hint="eastAsia" w:ascii="宋体" w:hAnsi="宋体" w:eastAsia="宋体" w:cs="宋体"/>
                <w:i w:val="0"/>
                <w:iCs w:val="0"/>
                <w:color w:val="auto"/>
                <w:kern w:val="2"/>
                <w:sz w:val="21"/>
                <w:szCs w:val="21"/>
                <w:lang w:val="en-US" w:eastAsia="zh-CN" w:bidi="ar-SA"/>
              </w:rPr>
              <w:t>：</w:t>
            </w:r>
          </w:p>
          <w:p w14:paraId="64952E8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加热炉出口法兰泄漏着火应急预案；</w:t>
            </w:r>
          </w:p>
          <w:p w14:paraId="5A2960A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分馏塔釜采出泵出口法兰泄漏着火应急预案；</w:t>
            </w:r>
          </w:p>
          <w:p w14:paraId="49E6151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分馏塔顶泵出口法兰泄漏伤人应急预案。</w:t>
            </w:r>
          </w:p>
          <w:p w14:paraId="042C6BE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5.循环氢压缩系统：</w:t>
            </w:r>
          </w:p>
          <w:p w14:paraId="572BA9B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动力蒸汽泄漏伤人事故；</w:t>
            </w:r>
          </w:p>
          <w:p w14:paraId="496FBC9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压缩机入口法兰泄漏中毒事故；</w:t>
            </w:r>
          </w:p>
          <w:p w14:paraId="61AEA28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压缩机出口法兰泄漏着火事故。</w:t>
            </w:r>
          </w:p>
          <w:p w14:paraId="68E8506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6.</w:t>
            </w:r>
            <w:r>
              <w:rPr>
                <w:rFonts w:hint="eastAsia" w:ascii="宋体" w:hAnsi="宋体" w:eastAsia="宋体" w:cs="宋体"/>
                <w:i w:val="0"/>
                <w:color w:val="auto"/>
                <w:sz w:val="21"/>
                <w:szCs w:val="21"/>
                <w:highlight w:val="none"/>
                <w:u w:val="none"/>
                <w:lang w:eastAsia="zh-CN"/>
              </w:rPr>
              <w:t>加氢反应系统</w:t>
            </w:r>
            <w:r>
              <w:rPr>
                <w:rFonts w:hint="eastAsia" w:ascii="宋体" w:hAnsi="宋体" w:eastAsia="宋体" w:cs="宋体"/>
                <w:i w:val="0"/>
                <w:iCs w:val="0"/>
                <w:color w:val="auto"/>
                <w:kern w:val="2"/>
                <w:sz w:val="21"/>
                <w:szCs w:val="21"/>
                <w:lang w:val="en-US" w:eastAsia="zh-CN" w:bidi="ar-SA"/>
              </w:rPr>
              <w:t>：</w:t>
            </w:r>
          </w:p>
          <w:p w14:paraId="68B82B70">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反应器出口法兰泄漏着火应急预案；</w:t>
            </w:r>
          </w:p>
          <w:p w14:paraId="16298DEB">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循环压缩机出口法兰泄漏有人中毒着火事故应急预案。</w:t>
            </w:r>
          </w:p>
        </w:tc>
      </w:tr>
    </w:tbl>
    <w:p w14:paraId="19CDE4EC">
      <w:pPr>
        <w:spacing w:line="360" w:lineRule="auto"/>
        <w:jc w:val="both"/>
        <w:rPr>
          <w:rFonts w:hint="eastAsia" w:ascii="宋体" w:hAnsi="宋体" w:eastAsia="宋体" w:cs="宋体"/>
          <w:color w:val="auto"/>
          <w:lang w:val="en-US" w:eastAsia="zh-CN"/>
        </w:rPr>
      </w:pPr>
    </w:p>
    <w:p w14:paraId="08C95FC1">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4.2.</w:t>
      </w:r>
      <w:r>
        <w:rPr>
          <w:rFonts w:hint="eastAsia" w:ascii="宋体" w:hAnsi="宋体" w:eastAsia="宋体" w:cs="宋体"/>
          <w:color w:val="auto"/>
          <w:sz w:val="24"/>
          <w:szCs w:val="24"/>
          <w:lang w:val="en-US" w:eastAsia="zh-CN"/>
        </w:rPr>
        <w:t>装置设计要求</w:t>
      </w:r>
    </w:p>
    <w:p w14:paraId="08F94F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①系统可以展示工艺报警联锁指标一览表、报警和联锁动作。</w:t>
      </w:r>
    </w:p>
    <w:p w14:paraId="6B1DC1D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智能仪表设计要求：仿真模拟智能仪表包括流量显示仪表、温度显示仪表、压力显示仪表、液位计和分析仪表。可以实现仿真模拟运行参数的远传与显示，并可与通讯模块、控制系统、现场执行机构构成完整的控制回路，实现多参数、多策略的过程控制。</w:t>
      </w:r>
    </w:p>
    <w:p w14:paraId="1B2543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③紧急停车系统要求：重要监控指标与模拟SIS控制系统相结合，实现关键设备的联锁保护、紧急停车。</w:t>
      </w:r>
    </w:p>
    <w:p w14:paraId="0B8A2A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执行机构及现场阀门设计要求：装置执行机构、现场阀门可以和控制系统进行通讯。执行机构与阀门的操作与实际一致，模拟采集型号多样，如开关阀、切断阀采用开关量信号，调节阀、开度阀采用模拟量信号；信号的不同，系统参数调节的变量亦不相同，达到真实的培训效果。</w:t>
      </w:r>
    </w:p>
    <w:p w14:paraId="0806AA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⑤动设备设计要求：动设备的外购与真实的设备一致，现场控制时采用防爆接线盒，控制系统可以监控运行状态。</w:t>
      </w:r>
    </w:p>
    <w:p w14:paraId="0FD4C9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⑥事故模拟系统设计要求：装置能通过声、光、电、烟雾手段，形象逼真地展现事故触发时的现场状态，各种事故模拟设施隐蔽设置。</w:t>
      </w:r>
    </w:p>
    <w:p w14:paraId="568A8D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⑦警戒隔离系统：设置警戒隔离系统，用于设备警戒隔离。同样，警戒隔离系统可以用于事故模拟时的现场封锁，可以与考核系统建立通讯并识别操作动作。</w:t>
      </w:r>
    </w:p>
    <w:p w14:paraId="20C51C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⑧可实现实操培训与考核全过程的智能化，即场景的自动设置与调整、人员实操行为的自动检测与智能评判、实操培训与考核的全程无人值守、培训软硬件设施的一体化集中管控、培训数据的自动分析与实时查询。</w:t>
      </w:r>
    </w:p>
    <w:p w14:paraId="21843122">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lang w:val="en-US" w:eastAsia="zh-CN"/>
        </w:rPr>
      </w:pPr>
      <w:r>
        <w:rPr>
          <w:rFonts w:hint="eastAsia" w:ascii="宋体" w:hAnsi="宋体" w:eastAsia="宋体" w:cs="宋体"/>
          <w:b w:val="0"/>
          <w:bCs w:val="0"/>
          <w:color w:val="auto"/>
          <w:sz w:val="24"/>
          <w:szCs w:val="24"/>
          <w:lang w:val="en-US" w:eastAsia="zh-CN"/>
        </w:rPr>
        <w:t>⑨自动评分系统设计：危化工艺考评系统包括硬件和软件两部分组成，硬件包括数据采集模块、控制模块、电源模块、通讯转换器组成，软件部分由定制考核软件组成，系统通过软件与现场控制站模块通讯采集数据、控制运算、控制输出，实现数据交互，根据危化工艺操作步骤，将现场操作数据传送至软件之后，实现危化工艺操作的记录与考核。全程无需人工干预，客观公正，教考分离。</w:t>
      </w:r>
    </w:p>
    <w:p w14:paraId="40F21CD7">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4.3.</w:t>
      </w:r>
      <w:r>
        <w:rPr>
          <w:rFonts w:hint="eastAsia" w:ascii="宋体" w:hAnsi="宋体" w:eastAsia="宋体" w:cs="宋体"/>
          <w:color w:val="auto"/>
          <w:sz w:val="24"/>
          <w:szCs w:val="24"/>
          <w:lang w:val="en-US" w:eastAsia="zh-CN"/>
        </w:rPr>
        <w:t>工艺简介</w:t>
      </w:r>
    </w:p>
    <w:p w14:paraId="5D641BA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加氢是在有机化合物分子中加入氢原子的反应，涉及加氢反应的工艺过程为加氢工艺，主要包括不饱和键加氢、芳环化合物加氢、含氮化合物加氢、含氧化合物加氢、氢解。</w:t>
      </w:r>
    </w:p>
    <w:p w14:paraId="268961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反应类型：放热反应；重点监控单元：加氢反应釜、氢气压缩机。</w:t>
      </w:r>
    </w:p>
    <w:p w14:paraId="21D452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工艺危险特点：反应物料具有燃爆危险性，氢气的爆炸极限为4％—75％，具有高燃爆危险特性；加氢为强烈的放热反应，氢气在高温高压下与钢材接触，钢材内的碳分子易与氢气发生反应生成碳氢化合物，使钢制设备强度降低，发生氢脆；催化剂再生和活化过程中易引发爆炸；加氢反应尾气中有未完全反应的氢气和其他杂质在排放时易引发着火或爆炸。</w:t>
      </w:r>
    </w:p>
    <w:p w14:paraId="75F847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本装置工艺：</w:t>
      </w:r>
    </w:p>
    <w:p w14:paraId="219F8F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采用苯加氢制备环己烷。</w:t>
      </w:r>
    </w:p>
    <w:p w14:paraId="77AA86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苯加氢的反应是一个强放热反应，反应常在一定的压力下进行：</w:t>
      </w:r>
    </w:p>
    <w:p w14:paraId="142DB03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C6H6+3H2=C6H12（g）+208.1KJ/mol</w:t>
      </w:r>
    </w:p>
    <w:p w14:paraId="245177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本工艺采用气相苯加氢工艺，气 - 固相催化反应加氢制取环己烷，气相苯和氢气混合进入 Ni-Al 2O3 为催化剂的固定床列管反应器，反应转化率、选择性均接近 100%。</w:t>
      </w:r>
    </w:p>
    <w:p w14:paraId="4DDD8D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用催化剂床层内同时具有液相反应区、混合相变反应区和气相反应区的气、液并流向上流动的新方法；液相、气液两相和气相反应在反应器内的不同部位同时发生。并且利用液相蒸发可吸收部分反应热，从而解决强放热反应的移热问题，实现催化剂的高效利用。</w:t>
      </w:r>
    </w:p>
    <w:p w14:paraId="069A4621">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4.4.安全</w:t>
      </w:r>
      <w:r>
        <w:rPr>
          <w:rFonts w:hint="eastAsia" w:ascii="宋体" w:hAnsi="宋体" w:eastAsia="宋体" w:cs="宋体"/>
          <w:color w:val="auto"/>
          <w:sz w:val="24"/>
          <w:szCs w:val="24"/>
          <w:lang w:val="en-US" w:eastAsia="zh-CN"/>
        </w:rPr>
        <w:t>控制要求</w:t>
      </w:r>
    </w:p>
    <w:p w14:paraId="34211F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温度和压力的报警和联锁；反应物料的比例控制和联锁系统；紧急冷却系统；搅拌的稳定控制系统；氢气紧急切断系统；加装安全阀、爆破片安全设施；循环氢压缩机停机报警和联锁；氢气检测报警装置。</w:t>
      </w:r>
    </w:p>
    <w:p w14:paraId="07419B51">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4.5.</w:t>
      </w:r>
      <w:r>
        <w:rPr>
          <w:rFonts w:hint="eastAsia" w:ascii="宋体" w:hAnsi="宋体" w:eastAsia="宋体" w:cs="宋体"/>
          <w:color w:val="auto"/>
          <w:sz w:val="24"/>
          <w:szCs w:val="24"/>
          <w:lang w:val="en-US" w:eastAsia="zh-CN"/>
        </w:rPr>
        <w:t>采用的控制方式</w:t>
      </w:r>
    </w:p>
    <w:p w14:paraId="4FB054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将加氢反应釜内温度、压力与釜内搅拌电流、氢气流量、加氢反应釜夹套冷却水进水阀形成联锁关系，设立紧急停车系统。加入急冷氮气或氢气的系统。当加氢反应釜内温度或压力超标或搅拌系统发生故障时自动停止加氢，泄压，并进入紧急状态。安全泄放系统。</w:t>
      </w:r>
    </w:p>
    <w:p w14:paraId="3DEF2178">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4.6.</w:t>
      </w:r>
      <w:r>
        <w:rPr>
          <w:rFonts w:hint="eastAsia" w:ascii="宋体" w:hAnsi="宋体" w:eastAsia="宋体" w:cs="宋体"/>
          <w:color w:val="auto"/>
          <w:sz w:val="24"/>
          <w:szCs w:val="24"/>
          <w:lang w:val="en-US" w:eastAsia="zh-CN"/>
        </w:rPr>
        <w:t>重点监控工艺参数</w:t>
      </w:r>
    </w:p>
    <w:p w14:paraId="0F2FAB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加氢反应釜或催化剂床层温度、压力；加氢反应釜内搅拌速率；氢气流量；反应物质的配料比；系统氧含量；冷却水流量；氢气压缩机运行参数、加氢反应尾气组成。</w:t>
      </w:r>
    </w:p>
    <w:p w14:paraId="79327D5E">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4.7.</w:t>
      </w:r>
      <w:r>
        <w:rPr>
          <w:rFonts w:hint="eastAsia" w:ascii="宋体" w:hAnsi="宋体" w:eastAsia="宋体" w:cs="宋体"/>
          <w:color w:val="auto"/>
          <w:sz w:val="24"/>
          <w:szCs w:val="24"/>
          <w:lang w:val="en-US" w:eastAsia="zh-CN"/>
        </w:rPr>
        <w:t>危化工艺安全考核软件要求</w:t>
      </w:r>
    </w:p>
    <w:p w14:paraId="29695F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该软件应结合《安监总宣教〔2014〕139号国家安全监管总局关于印发特种作业安全技术实际操作考试标准及考试点设备配备标准（试行）的通知》的标准设计开发，能够用于危化生产从业人员培训和考试的考培系统，软件涉及的工艺流程、科目3（作业现场安全隐患排除，简称K3）和科目4（作业现场应急处置，简称K4）考试内容、考试评分标准内容需结合《特种作业安全技术实际操作考试标准（试行）》的标准来设计开发。</w:t>
      </w:r>
    </w:p>
    <w:p w14:paraId="396932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软件应包含但不限于以下功能：</w:t>
      </w:r>
    </w:p>
    <w:p w14:paraId="395462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①操作软件采用DCS模拟仿真技术，以DCS组态界面的形式呈现工艺与场景的操作流程。</w:t>
      </w:r>
    </w:p>
    <w:p w14:paraId="2B59EB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②作业现场安全隐患排除包括停电、停蒸汽、停冷却水、物料中断、泵坏、阀卡常见的工艺事故，作业现场应急处置包括着火、泄漏、中毒典型的安全事故。</w:t>
      </w:r>
    </w:p>
    <w:p w14:paraId="3D8EB4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③系统后台运行动态的模拟数据，并配有相应的智能评分系统，对学员的操作进行智能判断并给出成绩。</w:t>
      </w:r>
    </w:p>
    <w:p w14:paraId="7C7AAE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作业现场应急处置操作过程中设有班长、内操、外操、安全员多种不同的角色；人物角色具有装备穿戴选择和工具选择功能；角色之间具备对话交流情节功能；软件具有事故应急预案广播通知功能；在组态界面中可实现警戒线设置、消防车引导、救护车引导、灭火器使用、消防水炮启用。</w:t>
      </w:r>
    </w:p>
    <w:p w14:paraId="37585511">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4.8.</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lang w:val="en-US" w:eastAsia="zh-CN"/>
        </w:rPr>
        <w:t>主要参数</w:t>
      </w:r>
    </w:p>
    <w:tbl>
      <w:tblPr>
        <w:tblStyle w:val="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2"/>
        <w:gridCol w:w="1433"/>
        <w:gridCol w:w="5946"/>
        <w:gridCol w:w="724"/>
        <w:gridCol w:w="793"/>
      </w:tblGrid>
      <w:tr w14:paraId="7C27E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CFE2F4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03F455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名称</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327DE7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规格型号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5832C8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数量</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0966E5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单位</w:t>
            </w:r>
          </w:p>
        </w:tc>
      </w:tr>
      <w:tr w14:paraId="5D305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2504D5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bCs/>
                <w:i w:val="0"/>
                <w:iCs w:val="0"/>
                <w:color w:val="auto"/>
                <w:kern w:val="0"/>
                <w:sz w:val="21"/>
                <w:szCs w:val="21"/>
                <w:highlight w:val="none"/>
                <w:u w:val="none"/>
                <w:lang w:val="en-US" w:eastAsia="zh-CN" w:bidi="ar"/>
              </w:rPr>
              <w:t>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68EA72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框架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C83F11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kern w:val="0"/>
                <w:sz w:val="21"/>
                <w:szCs w:val="21"/>
                <w:highlight w:val="none"/>
                <w:lang w:bidi="ar"/>
              </w:rPr>
              <w:t>框架尺寸长×宽×高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3250</w:t>
            </w:r>
            <w:r>
              <w:rPr>
                <w:rFonts w:hint="eastAsia" w:ascii="宋体" w:hAnsi="宋体" w:eastAsia="宋体" w:cs="宋体"/>
                <w:color w:val="auto"/>
                <w:kern w:val="0"/>
                <w:sz w:val="21"/>
                <w:szCs w:val="21"/>
                <w:highlight w:val="none"/>
                <w:lang w:bidi="ar"/>
              </w:rPr>
              <w:t>mm，</w:t>
            </w:r>
            <w:r>
              <w:rPr>
                <w:rFonts w:hint="eastAsia" w:ascii="宋体" w:hAnsi="宋体" w:eastAsia="宋体" w:cs="宋体"/>
                <w:color w:val="auto"/>
                <w:kern w:val="0"/>
                <w:sz w:val="21"/>
                <w:szCs w:val="21"/>
                <w:highlight w:val="none"/>
                <w:lang w:eastAsia="zh-CN" w:bidi="ar"/>
              </w:rPr>
              <w:t>设备尺寸</w:t>
            </w:r>
            <w:r>
              <w:rPr>
                <w:rFonts w:hint="eastAsia" w:ascii="宋体" w:hAnsi="宋体" w:eastAsia="宋体" w:cs="宋体"/>
                <w:color w:val="auto"/>
                <w:kern w:val="0"/>
                <w:sz w:val="21"/>
                <w:szCs w:val="21"/>
                <w:highlight w:val="none"/>
                <w:lang w:bidi="ar"/>
              </w:rPr>
              <w:t>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3570</w:t>
            </w:r>
            <w:r>
              <w:rPr>
                <w:rFonts w:hint="eastAsia" w:ascii="宋体" w:hAnsi="宋体" w:eastAsia="宋体" w:cs="宋体"/>
                <w:color w:val="auto"/>
                <w:kern w:val="0"/>
                <w:sz w:val="21"/>
                <w:szCs w:val="21"/>
                <w:highlight w:val="none"/>
                <w:lang w:bidi="ar"/>
              </w:rPr>
              <w:t>mm。此设备框架立柱型材规格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150*150*7*10mmH型钢。框架为钢结构二层平台带楼梯，一层方便人员进入操作；二层平台主梁型材规格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150*150*7*10mmH型钢，次梁型材规格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100*50*4mm冷弯型钢、</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60*40*4mm冷弯型钢及5#等边角铁。平台铺板型号规格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3mm（含扁豆纹高度）热轧花纹钢板。护栏型材规格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40*40*2mm冷弯型钢，护栏踢脚板型材规格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100*3mm扁钢。楼梯型材规格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180*50*20*3mmC型钢，楼梯踏板</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700*250*4mm（含扁豆纹高度）热轧花纹钢板折弯件。</w:t>
            </w:r>
            <w:r>
              <w:rPr>
                <w:rFonts w:hint="eastAsia" w:ascii="宋体" w:hAnsi="宋体" w:eastAsia="宋体" w:cs="宋体"/>
                <w:i w:val="0"/>
                <w:iCs w:val="0"/>
                <w:color w:val="auto"/>
                <w:kern w:val="0"/>
                <w:sz w:val="21"/>
                <w:szCs w:val="21"/>
                <w:highlight w:val="none"/>
                <w:u w:val="none"/>
                <w:lang w:val="en-US" w:eastAsia="zh-CN" w:bidi="ar"/>
              </w:rPr>
              <w:t>两层设计，带步梯和栏杆。</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85EB1F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3672D4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2BC3F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E364A8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i w:val="0"/>
                <w:iCs w:val="0"/>
                <w:color w:val="auto"/>
                <w:kern w:val="0"/>
                <w:sz w:val="21"/>
                <w:szCs w:val="21"/>
                <w:highlight w:val="none"/>
                <w:u w:val="none"/>
                <w:lang w:val="en-US" w:eastAsia="zh-CN" w:bidi="ar"/>
              </w:rPr>
              <w:t>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D775BD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加氢精制反应器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C8FA0B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≥φ325*3000mm，立置，304不锈钢镜面。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EE2149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FD9E25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3C5C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CA0F766">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7AEBDF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原料油缓冲罐</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985524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≥φ325*600mm，立置，304不锈钢镜面。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BA8742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755138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FAF1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596EEC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763EA1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热高压分离器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416932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≥φ325*600mm，立置，304不锈钢镜面。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696DB5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B4CD05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CF34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E2C7458">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D8BF4B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热低压分离器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BC1D04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≥φ325*600mm，立置，304不锈钢镜面。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E04D41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ABC6DE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50BA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2DF8DA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549623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加氢进料预热器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62984C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≥φ273*1000mm，卧置列管换热器，304不锈钢镜面。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1BB8A8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079361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359EE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C06168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130044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高压分离氢气冷却器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B91A74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≥φ273*1000mm，卧置列管换热器，304不锈钢镜面。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A5EBEF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279B7A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1087A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15B49E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D5AD88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低压分离氢气冷却器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B41DFE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≥φ273*1000mm，卧置列管换热器，304不锈钢镜面。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C0D2FC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7F6DB7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3AA92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CB7CDC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7C7887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原料油泵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55EA65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B529AA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175D6F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6AE4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FF64E2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31291E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原料油备泵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F78906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08C2F2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FB10A3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79975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712956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4DDBDA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温度计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58E8D4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仿真温度计，4—20mA信号输入，液晶显示。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272D26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A31E9D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6E19A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7ACEF1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E4AD23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压力表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273F0F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仿真压力表，4—20mA信号输入，液晶显示数值或指针压力表，指针可动。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C8D13F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A60D58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6BC52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16927F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CCC8DA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流量计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1B1C10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仿真流量计，4—20mA信号输入，液晶显示数值。</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CCD976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598EA8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66221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E60D59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4348D4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液位计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0737FB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仿真液位计，4—20mA信号输入。</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46F6FF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C5396D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A415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4BD412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F2073B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手动阀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A73D14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仿真球阀和截止阀，开关量现场显示和远传。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965E0E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4EDBFD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3580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2C4899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BA9B65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E9A845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自动调节阀和电磁阀，其中调节阀开度值现场显示和远传，电磁阀远传显示。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991030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A349CC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942B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05A880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0312196">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报警器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B27E99E">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模拟现场可燃气体报警和有毒气体报警，声光显示。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E206A6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BDF4E6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1369E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9EE728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07919BC">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报警灯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94B21D7">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119报警灯，用于事故的警示、紧急救援的预警，声光报警。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F47EBD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540A71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7E4DF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EDA1CC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BC594D5">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泄漏模拟系统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DE373E5">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rPr>
              <w:t>模拟泄漏事故现象，配合考核系统完成泄漏事故操作。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A5F232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A2B17E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7926C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8D2A2F6">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AC60D7A">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着火模拟系统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80FDBD6">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模拟着火事故现象，配合考核系统完成着火事故操作。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7F0F49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16AD0E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9B11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8BAB47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EDE43F9">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灭火模拟系统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D14AEA4">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模拟灭火器的</w:t>
            </w:r>
            <w:r>
              <w:rPr>
                <w:rFonts w:hint="eastAsia" w:ascii="宋体" w:hAnsi="宋体" w:eastAsia="宋体" w:cs="宋体"/>
                <w:color w:val="auto"/>
                <w:kern w:val="0"/>
                <w:sz w:val="21"/>
                <w:szCs w:val="21"/>
                <w:highlight w:val="none"/>
                <w:lang w:eastAsia="zh-CN"/>
              </w:rPr>
              <w:t>使用</w:t>
            </w:r>
            <w:r>
              <w:rPr>
                <w:rFonts w:hint="eastAsia" w:ascii="宋体" w:hAnsi="宋体" w:eastAsia="宋体" w:cs="宋体"/>
                <w:color w:val="auto"/>
                <w:kern w:val="0"/>
                <w:sz w:val="21"/>
                <w:szCs w:val="21"/>
                <w:highlight w:val="none"/>
              </w:rPr>
              <w:t>，配合考核系统完成相应事故操作。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5C5B91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FDE6F0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2C294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B47981A">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D8763AC">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警戒隔离模拟系统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28656EC">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模拟设置警戒隔离区域，配合考核系统完成相应事故操作。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4AC444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F9725A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75767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DD0756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25D589F">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模拟接地系统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9568839">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静电接地线、静电跨接带。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358DAA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07388C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433C9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46E0E0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B17CDDC">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模拟静电消除</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0C48398">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静电释放器。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23403E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76BD25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68E23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125CF7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7414A07">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行为智能检测</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4341B9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人员实操行为的自动检测与智能评判，配套智能摄像头与智能评判软件。</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3061EA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038DE6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E9E0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CFF7BE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EAB73E7">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集中管控系统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960CF8C">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电气系统一键开关，配套空开与管控系统。</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9594D0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077810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2EF16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303686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774E19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其他阀门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B1ABDE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与设备、工艺、管线配套。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F1CCD0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07032B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7617E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ABFF1C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5BA48D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紧固件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2289AF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与法兰，阀门，框架、支架配合；螺栓和垫片的材质与本工艺的设备、管件以及涉及的物料相匹配。</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D82E4E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27A0A8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6EF24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B14A84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08FA70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智能仪表电器控制柜</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546C78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供电电压220V。智能仪表电器控制台：钢制喷塑材质，内安装有配电盘、旋钮式强电开关控制、分相电压表、急停按钮，配电盘上安装有漏电保护器、24V开关电源，接触器，固态继电器，AO模块、AI模块、DO模块、DI模块，信号线均采用屏蔽线，电源线均采用国标阻燃线，电线通过工业级喷塑桥架（或镀锌桥架）与现场装置、仪表连接，强电弱电分离，杜绝信号干扰。</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E60C54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DFF3F0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r>
      <w:tr w14:paraId="6BD84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06614F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8EA30F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智能考试终端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2EBD9E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CPU：核心≥6，线程≥12，智能缓存≥18MB；内存：4GB；独显：≥2G；硬盘：≥128G固态硬盘。 </w:t>
            </w:r>
          </w:p>
          <w:p w14:paraId="227CC66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≥21.5 英寸WLED液晶显示器/串口，配无线网卡、键鼠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3E00A3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74D92D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6AE95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1EFA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31</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953B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软件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4122E6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yellow"/>
                <w:lang w:val="en-US" w:eastAsia="zh-CN"/>
              </w:rPr>
            </w:pPr>
            <w:r>
              <w:rPr>
                <w:rFonts w:hint="eastAsia" w:ascii="宋体" w:hAnsi="宋体" w:eastAsia="宋体" w:cs="宋体"/>
                <w:i w:val="0"/>
                <w:iCs w:val="0"/>
                <w:color w:val="auto"/>
                <w:kern w:val="0"/>
                <w:sz w:val="21"/>
                <w:szCs w:val="21"/>
                <w:highlight w:val="none"/>
                <w:u w:val="none"/>
                <w:lang w:val="en-US" w:eastAsia="zh-CN" w:bidi="ar"/>
              </w:rPr>
              <w:t>满足</w:t>
            </w:r>
            <w:r>
              <w:rPr>
                <w:rFonts w:hint="eastAsia" w:ascii="宋体" w:hAnsi="宋体" w:eastAsia="宋体" w:cs="宋体"/>
                <w:b w:val="0"/>
                <w:bCs w:val="0"/>
                <w:color w:val="auto"/>
                <w:kern w:val="0"/>
                <w:sz w:val="21"/>
                <w:szCs w:val="21"/>
                <w:highlight w:val="none"/>
                <w:u w:val="none"/>
                <w:lang w:val="en-US" w:eastAsia="zh-CN" w:bidi="ar"/>
              </w:rPr>
              <w:t>《安监总宣教〔2014〕139号国家安全监管总局关于印发特种作业安全技术实际操作考试标准及考试点设备配备标准（试行）的通知》</w:t>
            </w:r>
            <w:r>
              <w:rPr>
                <w:rFonts w:hint="eastAsia" w:ascii="宋体" w:hAnsi="宋体" w:cs="宋体"/>
                <w:b w:val="0"/>
                <w:bCs w:val="0"/>
                <w:color w:val="auto"/>
                <w:kern w:val="0"/>
                <w:sz w:val="21"/>
                <w:szCs w:val="21"/>
                <w:highlight w:val="none"/>
                <w:u w:val="none"/>
                <w:lang w:val="en-US" w:eastAsia="zh-CN" w:bidi="ar"/>
              </w:rPr>
              <w:t>的培训考核项目要求</w:t>
            </w:r>
            <w:r>
              <w:rPr>
                <w:rFonts w:hint="eastAsia" w:ascii="宋体" w:hAnsi="宋体" w:eastAsia="宋体" w:cs="宋体"/>
                <w:i w:val="0"/>
                <w:iCs w:val="0"/>
                <w:color w:val="auto"/>
                <w:kern w:val="0"/>
                <w:sz w:val="21"/>
                <w:szCs w:val="21"/>
                <w:highlight w:val="none"/>
                <w:u w:val="none"/>
                <w:lang w:val="en-US" w:eastAsia="zh-CN" w:bidi="ar"/>
              </w:rPr>
              <w:t>，支撑考核设备具备随机模拟产生各作业工艺操作过程中相应的紧急情况，实现紧急处置操作考核的功能；具备网络自动出题、考核结束设备智能判分的功能。</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F81512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DD340B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bl>
    <w:p w14:paraId="269D8791">
      <w:pPr>
        <w:spacing w:line="360" w:lineRule="auto"/>
        <w:jc w:val="both"/>
        <w:rPr>
          <w:rFonts w:hint="eastAsia" w:ascii="宋体" w:hAnsi="宋体" w:eastAsia="宋体" w:cs="宋体"/>
          <w:b w:val="0"/>
          <w:bCs w:val="0"/>
          <w:color w:val="auto"/>
          <w:sz w:val="24"/>
          <w:szCs w:val="24"/>
          <w:lang w:val="en-US" w:eastAsia="zh-CN"/>
        </w:rPr>
      </w:pPr>
    </w:p>
    <w:p w14:paraId="6E5FBA28">
      <w:pPr>
        <w:pStyle w:val="4"/>
        <w:keepNext/>
        <w:keepLines/>
        <w:pageBreakBefore w:val="0"/>
        <w:widowControl w:val="0"/>
        <w:numPr>
          <w:ilvl w:val="1"/>
          <w:numId w:val="0"/>
        </w:numPr>
        <w:kinsoku/>
        <w:wordWrap/>
        <w:overflowPunct/>
        <w:topLinePunct w:val="0"/>
        <w:autoSpaceDE/>
        <w:autoSpaceDN/>
        <w:bidi w:val="0"/>
        <w:adjustRightInd/>
        <w:snapToGrid/>
        <w:spacing w:before="0" w:beforeLines="0" w:after="0" w:line="360" w:lineRule="auto"/>
        <w:jc w:val="left"/>
        <w:textAlignment w:val="auto"/>
        <w:outlineLvl w:val="2"/>
        <w:rPr>
          <w:rFonts w:hint="eastAsia" w:ascii="宋体" w:hAnsi="宋体" w:eastAsia="宋体" w:cs="宋体"/>
          <w:b/>
          <w:bCs w:val="0"/>
          <w:color w:val="auto"/>
          <w:sz w:val="28"/>
          <w:szCs w:val="22"/>
          <w:lang w:val="en-US" w:eastAsia="zh-CN"/>
        </w:rPr>
      </w:pPr>
      <w:bookmarkStart w:id="222" w:name="_Toc20642"/>
      <w:bookmarkStart w:id="223" w:name="_Toc6783"/>
      <w:r>
        <w:rPr>
          <w:rFonts w:hint="eastAsia" w:ascii="宋体" w:hAnsi="宋体" w:eastAsia="宋体" w:cs="宋体"/>
          <w:b/>
          <w:bCs w:val="0"/>
          <w:color w:val="auto"/>
          <w:kern w:val="2"/>
          <w:sz w:val="28"/>
          <w:szCs w:val="22"/>
          <w:lang w:val="en-US" w:eastAsia="zh-CN" w:bidi="ar-SA"/>
        </w:rPr>
        <w:t>（五）</w:t>
      </w:r>
      <w:r>
        <w:rPr>
          <w:rFonts w:hint="eastAsia" w:ascii="宋体" w:hAnsi="宋体" w:eastAsia="宋体" w:cs="宋体"/>
          <w:b/>
          <w:bCs w:val="0"/>
          <w:color w:val="auto"/>
          <w:sz w:val="28"/>
          <w:szCs w:val="22"/>
          <w:lang w:val="en-US" w:eastAsia="zh-CN"/>
        </w:rPr>
        <w:t>氧化工艺作业实操考培装置</w:t>
      </w:r>
      <w:bookmarkEnd w:id="222"/>
      <w:bookmarkEnd w:id="223"/>
    </w:p>
    <w:p w14:paraId="44994640">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5.1.装置</w:t>
      </w:r>
      <w:r>
        <w:rPr>
          <w:rFonts w:hint="eastAsia" w:ascii="宋体" w:hAnsi="宋体" w:eastAsia="宋体" w:cs="宋体"/>
          <w:color w:val="auto"/>
          <w:sz w:val="24"/>
          <w:szCs w:val="24"/>
          <w:lang w:val="en-US" w:eastAsia="zh-CN"/>
        </w:rPr>
        <w:t>概述</w:t>
      </w:r>
    </w:p>
    <w:p w14:paraId="4A2B3911">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本系统需基于实际装置的工艺流程、化工过程原理、设备工作原理、质量平衡、能量平衡，应符合《特种作业安全技术实际操作考试标准》要求，具有高仿真精度的数学机理模型。</w:t>
      </w:r>
    </w:p>
    <w:p w14:paraId="60886DA4">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系统应满足在校学生、化工企业安全管理人员、特种作业人员、从业人员及安全监察监管人员的职业能力提升和专项技能实训需求，能够开展本工艺的生产工艺流程、工艺危险特点、重点监控的设备单元与工艺指标、安全控制的基本要求及自动控制方式与联锁设置内容的实训与考核工作。</w:t>
      </w:r>
    </w:p>
    <w:p w14:paraId="0E86D385">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本系统精简实际生产的化工工艺，保留特定的化工单元，编制开停车培训内容，有助于了解工艺危险特点和重点监控工艺参数设置原理。</w:t>
      </w:r>
    </w:p>
    <w:p w14:paraId="6E42DB69">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通过实训与考核，学员应能够全面掌握本工艺的生产流程、安全控制要求、紧急情况处置及应急处理能力，提升其专业技能水平，促进区域企业整体安全素质的提升。</w:t>
      </w:r>
    </w:p>
    <w:p w14:paraId="6F03D8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本装置应能够满足以下内容的培训学习与考核：</w:t>
      </w:r>
    </w:p>
    <w:tbl>
      <w:tblPr>
        <w:tblStyle w:val="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1625"/>
        <w:gridCol w:w="2342"/>
        <w:gridCol w:w="4412"/>
      </w:tblGrid>
      <w:tr w14:paraId="3B47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46A11D6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844" w:type="pct"/>
            <w:noWrap w:val="0"/>
            <w:vAlign w:val="center"/>
          </w:tcPr>
          <w:p w14:paraId="0F586F0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培训类别</w:t>
            </w:r>
          </w:p>
        </w:tc>
        <w:tc>
          <w:tcPr>
            <w:tcW w:w="1216" w:type="pct"/>
            <w:noWrap w:val="0"/>
            <w:vAlign w:val="center"/>
          </w:tcPr>
          <w:p w14:paraId="5BC4A88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分项内容</w:t>
            </w:r>
          </w:p>
        </w:tc>
        <w:tc>
          <w:tcPr>
            <w:tcW w:w="2291" w:type="pct"/>
            <w:noWrap w:val="0"/>
            <w:vAlign w:val="center"/>
          </w:tcPr>
          <w:p w14:paraId="4FD54BB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题目名称</w:t>
            </w:r>
          </w:p>
        </w:tc>
      </w:tr>
      <w:tr w14:paraId="5DF43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622AA8D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844" w:type="pct"/>
            <w:vMerge w:val="restart"/>
            <w:noWrap w:val="0"/>
            <w:vAlign w:val="center"/>
          </w:tcPr>
          <w:p w14:paraId="095F392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工艺操作与控制</w:t>
            </w:r>
          </w:p>
        </w:tc>
        <w:tc>
          <w:tcPr>
            <w:tcW w:w="1216" w:type="pct"/>
            <w:noWrap w:val="0"/>
            <w:vAlign w:val="center"/>
          </w:tcPr>
          <w:p w14:paraId="2A1A048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装置开停车操作</w:t>
            </w:r>
          </w:p>
        </w:tc>
        <w:tc>
          <w:tcPr>
            <w:tcW w:w="2291" w:type="pct"/>
            <w:noWrap w:val="0"/>
            <w:vAlign w:val="center"/>
          </w:tcPr>
          <w:p w14:paraId="032F9374">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1.开车前准备工作；</w:t>
            </w:r>
          </w:p>
          <w:p w14:paraId="3C7BA136">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2.开车操作；</w:t>
            </w:r>
          </w:p>
          <w:p w14:paraId="5A82929E">
            <w:pPr>
              <w:pStyle w:val="22"/>
              <w:spacing w:line="240" w:lineRule="auto"/>
              <w:ind w:left="0" w:leftChars="0" w:firstLine="0" w:firstLineChars="0"/>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3.停车操作。</w:t>
            </w:r>
          </w:p>
        </w:tc>
      </w:tr>
      <w:tr w14:paraId="7AE7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19B1DD0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844" w:type="pct"/>
            <w:vMerge w:val="continue"/>
            <w:noWrap w:val="0"/>
            <w:vAlign w:val="center"/>
          </w:tcPr>
          <w:p w14:paraId="7FC73F2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1C9F58B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装置安全隐患排查</w:t>
            </w:r>
          </w:p>
        </w:tc>
        <w:tc>
          <w:tcPr>
            <w:tcW w:w="2291" w:type="pct"/>
            <w:noWrap w:val="0"/>
            <w:vAlign w:val="center"/>
          </w:tcPr>
          <w:p w14:paraId="2C2340F7">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color w:val="auto"/>
                <w:sz w:val="21"/>
                <w:szCs w:val="21"/>
                <w:highlight w:val="none"/>
                <w:lang w:val="en-US" w:eastAsia="zh-CN"/>
              </w:rPr>
              <w:t>甲醛固定床反应器温度偏高</w:t>
            </w:r>
            <w:r>
              <w:rPr>
                <w:rFonts w:hint="eastAsia" w:ascii="宋体" w:hAnsi="宋体" w:eastAsia="宋体" w:cs="宋体"/>
                <w:i w:val="0"/>
                <w:iCs w:val="0"/>
                <w:color w:val="auto"/>
                <w:sz w:val="21"/>
                <w:szCs w:val="21"/>
                <w:highlight w:val="none"/>
                <w:u w:val="none"/>
                <w:lang w:val="en-US" w:eastAsia="zh-CN"/>
              </w:rPr>
              <w:t>；</w:t>
            </w:r>
          </w:p>
          <w:p w14:paraId="71B1A352">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color w:val="auto"/>
                <w:sz w:val="21"/>
                <w:szCs w:val="21"/>
                <w:highlight w:val="none"/>
                <w:lang w:val="en-US" w:eastAsia="zh-CN"/>
              </w:rPr>
              <w:t>甲醇进料含量偏高</w:t>
            </w:r>
            <w:r>
              <w:rPr>
                <w:rFonts w:hint="eastAsia" w:ascii="宋体" w:hAnsi="宋体" w:eastAsia="宋体" w:cs="宋体"/>
                <w:i w:val="0"/>
                <w:iCs w:val="0"/>
                <w:color w:val="auto"/>
                <w:sz w:val="21"/>
                <w:szCs w:val="21"/>
                <w:highlight w:val="none"/>
                <w:u w:val="none"/>
                <w:lang w:val="en-US" w:eastAsia="zh-CN"/>
              </w:rPr>
              <w:t>；</w:t>
            </w:r>
          </w:p>
          <w:p w14:paraId="60D8210D">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color w:val="auto"/>
                <w:sz w:val="21"/>
                <w:szCs w:val="21"/>
                <w:highlight w:val="none"/>
                <w:lang w:val="en-US" w:eastAsia="zh-CN"/>
              </w:rPr>
              <w:t>甲醛产品冷却温度偏高</w:t>
            </w:r>
            <w:r>
              <w:rPr>
                <w:rFonts w:hint="eastAsia" w:ascii="宋体" w:hAnsi="宋体" w:eastAsia="宋体" w:cs="宋体"/>
                <w:i w:val="0"/>
                <w:iCs w:val="0"/>
                <w:color w:val="auto"/>
                <w:sz w:val="21"/>
                <w:szCs w:val="21"/>
                <w:highlight w:val="none"/>
                <w:u w:val="none"/>
                <w:lang w:val="en-US" w:eastAsia="zh-CN"/>
              </w:rPr>
              <w:t>。</w:t>
            </w:r>
          </w:p>
        </w:tc>
      </w:tr>
      <w:tr w14:paraId="4CA2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22D20A1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844" w:type="pct"/>
            <w:vMerge w:val="continue"/>
            <w:noWrap w:val="0"/>
            <w:vAlign w:val="center"/>
          </w:tcPr>
          <w:p w14:paraId="45A0184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5D34E66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装置安全应急处置</w:t>
            </w:r>
          </w:p>
        </w:tc>
        <w:tc>
          <w:tcPr>
            <w:tcW w:w="2291" w:type="pct"/>
            <w:noWrap w:val="0"/>
            <w:vAlign w:val="center"/>
          </w:tcPr>
          <w:p w14:paraId="5E4FE629">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color w:val="auto"/>
                <w:sz w:val="21"/>
                <w:szCs w:val="21"/>
                <w:highlight w:val="none"/>
                <w:lang w:val="en-US" w:eastAsia="zh-CN"/>
              </w:rPr>
              <w:t>循环泵出口阀法兰泄漏有人中毒</w:t>
            </w:r>
            <w:r>
              <w:rPr>
                <w:rFonts w:hint="eastAsia" w:ascii="宋体" w:hAnsi="宋体" w:eastAsia="宋体" w:cs="宋体"/>
                <w:color w:val="auto"/>
                <w:sz w:val="21"/>
                <w:szCs w:val="21"/>
                <w:highlight w:val="none"/>
                <w:vertAlign w:val="baseline"/>
                <w:lang w:eastAsia="zh-CN"/>
              </w:rPr>
              <w:t>应急预案</w:t>
            </w:r>
            <w:r>
              <w:rPr>
                <w:rFonts w:hint="eastAsia" w:ascii="宋体" w:hAnsi="宋体" w:eastAsia="宋体" w:cs="宋体"/>
                <w:i w:val="0"/>
                <w:iCs w:val="0"/>
                <w:color w:val="auto"/>
                <w:sz w:val="21"/>
                <w:szCs w:val="21"/>
                <w:highlight w:val="none"/>
                <w:u w:val="none"/>
                <w:lang w:val="en-US" w:eastAsia="zh-CN"/>
              </w:rPr>
              <w:t>；</w:t>
            </w:r>
          </w:p>
          <w:p w14:paraId="7CAD0BB9">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color w:val="auto"/>
                <w:sz w:val="21"/>
                <w:szCs w:val="21"/>
                <w:highlight w:val="none"/>
              </w:rPr>
              <w:t>锅炉</w:t>
            </w:r>
            <w:r>
              <w:rPr>
                <w:rFonts w:hint="eastAsia" w:ascii="宋体" w:hAnsi="宋体" w:eastAsia="宋体" w:cs="宋体"/>
                <w:color w:val="auto"/>
                <w:sz w:val="21"/>
                <w:szCs w:val="21"/>
                <w:highlight w:val="none"/>
                <w:lang w:val="en-US" w:eastAsia="zh-CN"/>
              </w:rPr>
              <w:t>蒸汽出口法兰泄</w:t>
            </w:r>
            <w:r>
              <w:rPr>
                <w:rFonts w:hint="eastAsia" w:ascii="宋体" w:hAnsi="宋体" w:eastAsia="宋体" w:cs="宋体"/>
                <w:color w:val="auto"/>
                <w:sz w:val="21"/>
                <w:szCs w:val="21"/>
                <w:highlight w:val="none"/>
              </w:rPr>
              <w:t>漏</w:t>
            </w:r>
            <w:r>
              <w:rPr>
                <w:rFonts w:hint="eastAsia" w:ascii="宋体" w:hAnsi="宋体" w:eastAsia="宋体" w:cs="宋体"/>
                <w:color w:val="auto"/>
                <w:sz w:val="21"/>
                <w:szCs w:val="21"/>
                <w:highlight w:val="none"/>
                <w:vertAlign w:val="baseline"/>
                <w:lang w:eastAsia="zh-CN"/>
              </w:rPr>
              <w:t>应急预案</w:t>
            </w:r>
            <w:r>
              <w:rPr>
                <w:rFonts w:hint="eastAsia" w:ascii="宋体" w:hAnsi="宋体" w:eastAsia="宋体" w:cs="宋体"/>
                <w:i w:val="0"/>
                <w:iCs w:val="0"/>
                <w:color w:val="auto"/>
                <w:sz w:val="21"/>
                <w:szCs w:val="21"/>
                <w:highlight w:val="none"/>
                <w:u w:val="none"/>
                <w:lang w:val="en-US" w:eastAsia="zh-CN"/>
              </w:rPr>
              <w:t>；</w:t>
            </w:r>
          </w:p>
          <w:p w14:paraId="05BF0CC2">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color w:val="auto"/>
                <w:sz w:val="21"/>
                <w:szCs w:val="21"/>
                <w:highlight w:val="none"/>
              </w:rPr>
              <w:t>反应器入口法兰</w:t>
            </w:r>
            <w:r>
              <w:rPr>
                <w:rFonts w:hint="eastAsia" w:ascii="宋体" w:hAnsi="宋体" w:eastAsia="宋体" w:cs="宋体"/>
                <w:color w:val="auto"/>
                <w:sz w:val="21"/>
                <w:szCs w:val="21"/>
                <w:highlight w:val="none"/>
                <w:lang w:eastAsia="zh-CN"/>
              </w:rPr>
              <w:t>泄漏</w:t>
            </w:r>
            <w:r>
              <w:rPr>
                <w:rFonts w:hint="eastAsia" w:ascii="宋体" w:hAnsi="宋体" w:eastAsia="宋体" w:cs="宋体"/>
                <w:color w:val="auto"/>
                <w:sz w:val="21"/>
                <w:szCs w:val="21"/>
                <w:highlight w:val="none"/>
              </w:rPr>
              <w:t>着火</w:t>
            </w:r>
            <w:r>
              <w:rPr>
                <w:rFonts w:hint="eastAsia" w:ascii="宋体" w:hAnsi="宋体" w:eastAsia="宋体" w:cs="宋体"/>
                <w:i w:val="0"/>
                <w:iCs w:val="0"/>
                <w:color w:val="auto"/>
                <w:sz w:val="21"/>
                <w:szCs w:val="21"/>
                <w:highlight w:val="none"/>
                <w:u w:val="none"/>
                <w:lang w:val="en-US" w:eastAsia="zh-CN"/>
              </w:rPr>
              <w:t>。</w:t>
            </w:r>
          </w:p>
        </w:tc>
      </w:tr>
      <w:tr w14:paraId="2BB4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43ECDAA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844" w:type="pct"/>
            <w:vMerge w:val="restart"/>
            <w:noWrap w:val="0"/>
            <w:vAlign w:val="center"/>
          </w:tcPr>
          <w:p w14:paraId="27D01DE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工艺安全技术实操培训与考试</w:t>
            </w:r>
          </w:p>
        </w:tc>
        <w:tc>
          <w:tcPr>
            <w:tcW w:w="1216" w:type="pct"/>
            <w:noWrap w:val="0"/>
            <w:vAlign w:val="center"/>
          </w:tcPr>
          <w:p w14:paraId="7022FEC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作业现场安全隐患排查</w:t>
            </w:r>
          </w:p>
        </w:tc>
        <w:tc>
          <w:tcPr>
            <w:tcW w:w="2291" w:type="pct"/>
            <w:noWrap w:val="0"/>
            <w:vAlign w:val="center"/>
          </w:tcPr>
          <w:p w14:paraId="1995029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0D8185C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原料泵入口管线堵；</w:t>
            </w:r>
          </w:p>
          <w:p w14:paraId="0BFF02B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原料泵抽空；</w:t>
            </w:r>
          </w:p>
          <w:p w14:paraId="0F40CB5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停电事故；</w:t>
            </w:r>
          </w:p>
          <w:p w14:paraId="258926C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原料泵坏；</w:t>
            </w:r>
          </w:p>
          <w:p w14:paraId="7988A84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出料流量控制阀阀卡。</w:t>
            </w:r>
          </w:p>
          <w:p w14:paraId="593120E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5CF4BD7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换热器结垢；</w:t>
            </w:r>
          </w:p>
          <w:p w14:paraId="006639F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装置停电；</w:t>
            </w:r>
          </w:p>
          <w:p w14:paraId="5C5D0DD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装置冷物料中断事故；</w:t>
            </w:r>
          </w:p>
          <w:p w14:paraId="49BCBB9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冷物流泵坏；</w:t>
            </w:r>
          </w:p>
          <w:p w14:paraId="2D485C9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热物流泵坏。</w:t>
            </w:r>
          </w:p>
          <w:p w14:paraId="0B149C1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3.离心压缩机：</w:t>
            </w:r>
          </w:p>
          <w:p w14:paraId="030EAE5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60F8E92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冷却水中断；</w:t>
            </w:r>
          </w:p>
          <w:p w14:paraId="1F4CC58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润滑油压力低低；</w:t>
            </w:r>
          </w:p>
          <w:p w14:paraId="2B80266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复水器液位高。</w:t>
            </w:r>
          </w:p>
          <w:p w14:paraId="19D531C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4.精馏塔：</w:t>
            </w:r>
          </w:p>
          <w:p w14:paraId="257C88A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冷却水供应不足事故；</w:t>
            </w:r>
          </w:p>
          <w:p w14:paraId="775AEE8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549D0E6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原料中断事故；</w:t>
            </w:r>
          </w:p>
          <w:p w14:paraId="5CA7179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停蒸汽；</w:t>
            </w:r>
          </w:p>
          <w:p w14:paraId="7B34AA2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回流中断。</w:t>
            </w:r>
          </w:p>
          <w:p w14:paraId="5B1E8A5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5.釜式反应器：</w:t>
            </w:r>
          </w:p>
          <w:p w14:paraId="5414957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长时间停电；</w:t>
            </w:r>
          </w:p>
          <w:p w14:paraId="4D458BF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原料中断。</w:t>
            </w:r>
          </w:p>
          <w:p w14:paraId="02C6831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6.固定床反应器：</w:t>
            </w:r>
          </w:p>
          <w:p w14:paraId="5805F70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反应器氢气中断；</w:t>
            </w:r>
          </w:p>
          <w:p w14:paraId="12F8C92C">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冷却水中断；</w:t>
            </w:r>
          </w:p>
          <w:p w14:paraId="641E4A9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lang w:val="en-US" w:eastAsia="zh-CN"/>
              </w:rPr>
            </w:pPr>
            <w:r>
              <w:rPr>
                <w:rFonts w:hint="eastAsia" w:ascii="宋体" w:hAnsi="宋体" w:eastAsia="宋体" w:cs="宋体"/>
                <w:i w:val="0"/>
                <w:iCs w:val="0"/>
                <w:color w:val="auto"/>
                <w:kern w:val="2"/>
                <w:sz w:val="21"/>
                <w:szCs w:val="21"/>
                <w:lang w:val="en-US" w:eastAsia="zh-CN" w:bidi="ar-SA"/>
              </w:rPr>
              <w:t>反应器飞温。</w:t>
            </w:r>
          </w:p>
        </w:tc>
      </w:tr>
      <w:tr w14:paraId="5081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noWrap w:val="0"/>
            <w:vAlign w:val="center"/>
          </w:tcPr>
          <w:p w14:paraId="751A180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844" w:type="pct"/>
            <w:vMerge w:val="continue"/>
            <w:noWrap w:val="0"/>
            <w:vAlign w:val="center"/>
          </w:tcPr>
          <w:p w14:paraId="32B0A93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p>
        </w:tc>
        <w:tc>
          <w:tcPr>
            <w:tcW w:w="1216" w:type="pct"/>
            <w:noWrap w:val="0"/>
            <w:vAlign w:val="center"/>
          </w:tcPr>
          <w:p w14:paraId="6F5DE40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作业现场应急处置</w:t>
            </w:r>
          </w:p>
        </w:tc>
        <w:tc>
          <w:tcPr>
            <w:tcW w:w="2291" w:type="pct"/>
            <w:noWrap w:val="0"/>
            <w:vAlign w:val="center"/>
          </w:tcPr>
          <w:p w14:paraId="1CCFEAC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highlight w:val="none"/>
                <w:u w:val="none"/>
                <w:lang w:val="en-US" w:eastAsia="zh-CN"/>
              </w:rPr>
              <w:t>离心泵：</w:t>
            </w:r>
          </w:p>
          <w:p w14:paraId="1223CCD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离心泵机械密封泄露着火应急预案；</w:t>
            </w:r>
          </w:p>
          <w:p w14:paraId="721970E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离心泵出口法兰泄露有人中毒应急预案；</w:t>
            </w:r>
          </w:p>
          <w:p w14:paraId="182AB84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出料流量控制阀前法兰泄露着火应急预案；</w:t>
            </w:r>
          </w:p>
          <w:p w14:paraId="21D9BFE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泵出口法兰泄露着火应急预案。</w:t>
            </w:r>
          </w:p>
          <w:p w14:paraId="7F7D1CA8">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2.换热器：</w:t>
            </w:r>
          </w:p>
          <w:p w14:paraId="0BE61F1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冷物料泵出口法兰泄露着火事故应急预案；</w:t>
            </w:r>
          </w:p>
          <w:p w14:paraId="268F40C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换热器热物料出口法兰泄露着火事故应急预案；</w:t>
            </w:r>
          </w:p>
          <w:p w14:paraId="0DF7700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换热器热物料出口法兰有人中毒应急预案。</w:t>
            </w:r>
          </w:p>
          <w:p w14:paraId="5927638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3.离心压缩机：</w:t>
            </w:r>
          </w:p>
          <w:p w14:paraId="267C5DF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压缩机出口法兰泄漏爆炸着火；</w:t>
            </w:r>
          </w:p>
          <w:p w14:paraId="45A2047B">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压缩机级间法兰泄漏着火；</w:t>
            </w:r>
          </w:p>
          <w:p w14:paraId="13EEA94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压缩机动力蒸汽泄漏。</w:t>
            </w:r>
          </w:p>
          <w:p w14:paraId="27B97B7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4.精馏塔：</w:t>
            </w:r>
          </w:p>
          <w:p w14:paraId="3658DF9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回流罐切水阀法兰泄漏着火应急预案；</w:t>
            </w:r>
          </w:p>
          <w:p w14:paraId="1B6AB48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机械密封泄漏着火应急预案；</w:t>
            </w:r>
          </w:p>
          <w:p w14:paraId="60E45823">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塔釜出口法兰泄漏应急预案。</w:t>
            </w:r>
          </w:p>
          <w:p w14:paraId="438319F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5.釜式反应器：</w:t>
            </w:r>
          </w:p>
          <w:p w14:paraId="111EB530">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进料阀法兰泄漏着火；</w:t>
            </w:r>
          </w:p>
          <w:p w14:paraId="560B5D97">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己烷进料泵机械密封泄漏着火；</w:t>
            </w:r>
          </w:p>
          <w:p w14:paraId="1DE45E9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第一反应器乙烯进料调节阀法兰泄漏有人中毒。</w:t>
            </w:r>
          </w:p>
          <w:p w14:paraId="6AAEAA5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6.</w:t>
            </w:r>
            <w:r>
              <w:rPr>
                <w:rFonts w:hint="eastAsia" w:ascii="宋体" w:hAnsi="宋体" w:eastAsia="宋体" w:cs="宋体"/>
                <w:i w:val="0"/>
                <w:color w:val="auto"/>
                <w:kern w:val="0"/>
                <w:sz w:val="21"/>
                <w:szCs w:val="21"/>
                <w:highlight w:val="none"/>
                <w:u w:val="none"/>
                <w:lang w:val="en-US" w:eastAsia="zh-CN" w:bidi="ar"/>
              </w:rPr>
              <w:t>固定床</w:t>
            </w:r>
            <w:r>
              <w:rPr>
                <w:rFonts w:hint="eastAsia" w:ascii="宋体" w:hAnsi="宋体" w:eastAsia="宋体" w:cs="宋体"/>
                <w:i w:val="0"/>
                <w:iCs w:val="0"/>
                <w:color w:val="auto"/>
                <w:kern w:val="2"/>
                <w:sz w:val="21"/>
                <w:szCs w:val="21"/>
                <w:lang w:val="en-US" w:eastAsia="zh-CN" w:bidi="ar-SA"/>
              </w:rPr>
              <w:t>反应器：</w:t>
            </w:r>
          </w:p>
          <w:p w14:paraId="357C2408">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反应器二段出口法兰泄漏着火有人受伤；</w:t>
            </w:r>
          </w:p>
          <w:p w14:paraId="65B43116">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2"/>
                <w:sz w:val="21"/>
                <w:szCs w:val="21"/>
                <w:lang w:val="en-US" w:eastAsia="zh-CN" w:bidi="ar-SA"/>
              </w:rPr>
            </w:pPr>
            <w:r>
              <w:rPr>
                <w:rFonts w:hint="eastAsia" w:ascii="宋体" w:hAnsi="宋体" w:eastAsia="宋体" w:cs="宋体"/>
                <w:i w:val="0"/>
                <w:iCs w:val="0"/>
                <w:color w:val="auto"/>
                <w:kern w:val="2"/>
                <w:sz w:val="21"/>
                <w:szCs w:val="21"/>
                <w:lang w:val="en-US" w:eastAsia="zh-CN" w:bidi="ar-SA"/>
              </w:rPr>
              <w:t>反应器一段入口阀门泄漏着火；</w:t>
            </w:r>
          </w:p>
          <w:p w14:paraId="317671A3">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2"/>
                <w:sz w:val="21"/>
                <w:szCs w:val="21"/>
                <w:lang w:val="en-US" w:eastAsia="zh-CN" w:bidi="ar-SA"/>
              </w:rPr>
              <w:t>粗氢一段入口调节阀前阀泄漏中毒。</w:t>
            </w:r>
          </w:p>
        </w:tc>
      </w:tr>
    </w:tbl>
    <w:p w14:paraId="4ED9EF9D">
      <w:pPr>
        <w:spacing w:line="360" w:lineRule="auto"/>
        <w:jc w:val="both"/>
        <w:rPr>
          <w:rFonts w:hint="eastAsia" w:ascii="宋体" w:hAnsi="宋体" w:eastAsia="宋体" w:cs="宋体"/>
          <w:color w:val="auto"/>
          <w:lang w:val="en-US" w:eastAsia="zh-CN"/>
        </w:rPr>
      </w:pPr>
    </w:p>
    <w:p w14:paraId="7D1DB167">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5.2.装置</w:t>
      </w:r>
      <w:r>
        <w:rPr>
          <w:rFonts w:hint="eastAsia" w:ascii="宋体" w:hAnsi="宋体" w:eastAsia="宋体" w:cs="宋体"/>
          <w:color w:val="auto"/>
          <w:sz w:val="24"/>
          <w:szCs w:val="24"/>
          <w:lang w:val="en-US" w:eastAsia="zh-CN"/>
        </w:rPr>
        <w:t>设计要求</w:t>
      </w:r>
    </w:p>
    <w:p w14:paraId="4CAEFAE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①系统可以展示工艺报警联锁指标一览表、报警和联锁动作。</w:t>
      </w:r>
    </w:p>
    <w:p w14:paraId="36FDDD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智能仪表设计要求：仿真模拟智能仪表包括流量显示仪表、温度显示仪表、压力显示仪表、液位计和分析仪表。可以实现仿真模拟运行参数的远传与显示，并可与通讯模块、控制系统、现场执行机构构成完整的控制回路，实现多参数、多策略的过程控制。</w:t>
      </w:r>
    </w:p>
    <w:p w14:paraId="5CA461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③紧急停车系统要求：重要监控指标与模拟SIS控制系统相结合，实现关键设备的联锁保护、紧急停车。</w:t>
      </w:r>
    </w:p>
    <w:p w14:paraId="79A589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执行机构及现场阀门设计要求：装置执行机构、现场阀门可以和控制系统进行通讯。执行机构与阀门的操作与实际一致，模拟采集型号多样，如开关阀、切断阀采用开关量信号，调节阀、开度阀采用模拟量信号；信号的不同，系统参数调节的变量亦不相同，达到真实的培训效果。</w:t>
      </w:r>
    </w:p>
    <w:p w14:paraId="6EC9A6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⑤动设备设计要求：动设备的外购与真实的设备一致，现场控制时采用防爆接线盒，控制系统可以监控运行状态。</w:t>
      </w:r>
    </w:p>
    <w:p w14:paraId="7B561D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⑥事故模拟系统设计要求：装置能通过声、光、电、烟雾手段，形象逼真地展现事故触发时的现场状态，各种事故模拟设施隐蔽设置。</w:t>
      </w:r>
    </w:p>
    <w:p w14:paraId="0A0CF8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⑦警戒隔离系统：设置警戒隔离系统，用于设备警戒隔离。同样，警戒隔离系统可以用于事故模拟时的现场封锁，可以与考核系统建立通讯并识别操作动作。</w:t>
      </w:r>
    </w:p>
    <w:p w14:paraId="365711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⑧可实现实操培训与考核全过程的智能化，即场景的自动设置与调整、人员实操行为的自动检测与智能评判、实操培训与考核的全程无人值守、培训软硬件设施的一体化集中管控、培训数据的自动分析与实时查询。</w:t>
      </w:r>
    </w:p>
    <w:p w14:paraId="6C5DDB0C">
      <w:pPr>
        <w:pStyle w:val="22"/>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eastAsia" w:ascii="宋体" w:hAnsi="宋体" w:eastAsia="宋体" w:cs="宋体"/>
          <w:color w:val="auto"/>
          <w:lang w:val="en-US" w:eastAsia="zh-CN"/>
        </w:rPr>
      </w:pPr>
      <w:r>
        <w:rPr>
          <w:rFonts w:hint="eastAsia" w:ascii="宋体" w:hAnsi="宋体" w:eastAsia="宋体" w:cs="宋体"/>
          <w:b w:val="0"/>
          <w:bCs w:val="0"/>
          <w:color w:val="auto"/>
          <w:sz w:val="24"/>
          <w:szCs w:val="24"/>
          <w:lang w:val="en-US" w:eastAsia="zh-CN"/>
        </w:rPr>
        <w:t>⑨自动评分系统设计：危化工艺考评系统包括硬件和软件两部分组成，硬件包括数据采集模块、控制模块、电源模块、通讯转换器组成，软件部分由定制考核软件组成，系统通过软件与现场控制站模块通讯采集数据、控制运算、控制输出，实现数据交互，根据危化工艺操作步骤，将现场操作数据传送至软件之后，实现危化工艺操作的记录与考核。全程无需人工干预，客观公正，教考分离。</w:t>
      </w:r>
    </w:p>
    <w:p w14:paraId="513CBCFE">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5.3.</w:t>
      </w:r>
      <w:r>
        <w:rPr>
          <w:rFonts w:hint="eastAsia" w:ascii="宋体" w:hAnsi="宋体" w:eastAsia="宋体" w:cs="宋体"/>
          <w:color w:val="auto"/>
          <w:sz w:val="24"/>
          <w:szCs w:val="24"/>
          <w:lang w:val="en-US" w:eastAsia="zh-CN"/>
        </w:rPr>
        <w:t>工艺简介</w:t>
      </w:r>
    </w:p>
    <w:p w14:paraId="7F4357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氧化为有电子转移的化学反应中失电子的过程，即氧化数升高的过程。多数有机化合物的氧化反应表现为反应原料得到氧或失去氢。涉及氧化反应的工艺过程为氧化工艺。常用的氧化剂有：空气、氧气、双氧水、氯酸钾、高锰酸钾、硝酸盐。</w:t>
      </w:r>
    </w:p>
    <w:p w14:paraId="644B04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反应类型：放热反应；重点监控单元：氧化反应器。</w:t>
      </w:r>
    </w:p>
    <w:p w14:paraId="668320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工艺危险特点：反应原料及产品具有燃爆危险性；反应气相组成容易达到爆炸极限，具有闪爆危险；部分氧化剂具有燃爆危险性，如氯酸钾，高锰酸钾、铬酸酐都属于氧化剂，如遇高温或受撞击、摩擦以及与有机物、酸类接触，皆能引起火灾爆炸；产物中易生成过氧化物，化学稳定性差，受高温、摩擦或撞击作用易分解、燃烧或爆炸。</w:t>
      </w:r>
    </w:p>
    <w:p w14:paraId="601DC3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本装置工艺：</w:t>
      </w:r>
    </w:p>
    <w:p w14:paraId="1B52CD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本工艺为甲醇氧化制备甲醛，工艺流程如下：</w:t>
      </w:r>
    </w:p>
    <w:p w14:paraId="26F577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甲醇与清洁加压空气在甲醇蒸汽器内蒸发混合后，进入甲醛固定床反应器，在铁钼催化的作用下甲醇被空气中的氧气氧化成甲醛，由于是放热反应，多余的热量由导热油带走，导热油的热量由锅炉水蒸发附产蒸汽带走。甲醛气体进甲醇蒸发器冷却后，进入甲醛吸收塔；经吸收后，成品为54%稀甲醛，经换热后去甲醛后续系统。</w:t>
      </w:r>
    </w:p>
    <w:p w14:paraId="38AC49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吸收2塔的尾气进入尾气加热处理器进行处理，将未反应的甲醇、未吸收的甲醛高温氧化为无毒无害的二氧化碳和水。</w:t>
      </w:r>
    </w:p>
    <w:p w14:paraId="003DF6CB">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5.4.</w:t>
      </w:r>
      <w:r>
        <w:rPr>
          <w:rFonts w:hint="eastAsia" w:ascii="宋体" w:hAnsi="宋体" w:eastAsia="宋体" w:cs="宋体"/>
          <w:color w:val="auto"/>
          <w:sz w:val="24"/>
          <w:szCs w:val="24"/>
          <w:lang w:val="en-US" w:eastAsia="zh-CN"/>
        </w:rPr>
        <w:t>安全</w:t>
      </w:r>
      <w:r>
        <w:rPr>
          <w:rFonts w:hint="eastAsia" w:ascii="宋体" w:hAnsi="宋体" w:eastAsia="宋体" w:cs="宋体"/>
          <w:b/>
          <w:color w:val="auto"/>
          <w:kern w:val="2"/>
          <w:sz w:val="24"/>
          <w:szCs w:val="24"/>
          <w:lang w:val="en-US" w:eastAsia="zh-CN" w:bidi="ar-SA"/>
        </w:rPr>
        <w:t>控制</w:t>
      </w:r>
      <w:r>
        <w:rPr>
          <w:rFonts w:hint="eastAsia" w:ascii="宋体" w:hAnsi="宋体" w:eastAsia="宋体" w:cs="宋体"/>
          <w:color w:val="auto"/>
          <w:sz w:val="24"/>
          <w:szCs w:val="24"/>
          <w:lang w:val="en-US" w:eastAsia="zh-CN"/>
        </w:rPr>
        <w:t>要求</w:t>
      </w:r>
    </w:p>
    <w:p w14:paraId="06CEAA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反应釜温度和压力的报警和联锁；反应物料的比例控制和联锁及紧急切断动力系统；紧急断料系统；紧急冷却系统；紧急送入惰性气体的系统；气相氧含量监测、报警和联锁；安全泄放系统；可燃和有毒气体检测报警装置。</w:t>
      </w:r>
    </w:p>
    <w:p w14:paraId="5AD50C19">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5.5.采用</w:t>
      </w:r>
      <w:r>
        <w:rPr>
          <w:rFonts w:hint="eastAsia" w:ascii="宋体" w:hAnsi="宋体" w:eastAsia="宋体" w:cs="宋体"/>
          <w:color w:val="auto"/>
          <w:sz w:val="24"/>
          <w:szCs w:val="24"/>
          <w:lang w:val="en-US" w:eastAsia="zh-CN"/>
        </w:rPr>
        <w:t>的控制方式</w:t>
      </w:r>
    </w:p>
    <w:p w14:paraId="6CADA4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将氧化反应釜内温度和压力与反应物的配比和流量、氧化反应釜夹套冷却水进水阀、紧急冷却系统形成联锁关系，在氧化反应釜处设立紧急停车系统，当氧化反应釜内温度超标或搅拌系统发生故障时自动停止加料并紧急停车。配备安全阀、爆破片安全设施。</w:t>
      </w:r>
    </w:p>
    <w:p w14:paraId="7D21839A">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5.6.</w:t>
      </w:r>
      <w:r>
        <w:rPr>
          <w:rFonts w:hint="eastAsia" w:ascii="宋体" w:hAnsi="宋体" w:eastAsia="宋体" w:cs="宋体"/>
          <w:color w:val="auto"/>
          <w:sz w:val="24"/>
          <w:szCs w:val="24"/>
          <w:lang w:val="en-US" w:eastAsia="zh-CN"/>
        </w:rPr>
        <w:t>重点</w:t>
      </w:r>
      <w:r>
        <w:rPr>
          <w:rFonts w:hint="eastAsia" w:ascii="宋体" w:hAnsi="宋体" w:eastAsia="宋体" w:cs="宋体"/>
          <w:b/>
          <w:color w:val="auto"/>
          <w:kern w:val="2"/>
          <w:sz w:val="24"/>
          <w:szCs w:val="24"/>
          <w:lang w:val="en-US" w:eastAsia="zh-CN" w:bidi="ar-SA"/>
        </w:rPr>
        <w:t>监控</w:t>
      </w:r>
      <w:r>
        <w:rPr>
          <w:rFonts w:hint="eastAsia" w:ascii="宋体" w:hAnsi="宋体" w:eastAsia="宋体" w:cs="宋体"/>
          <w:color w:val="auto"/>
          <w:sz w:val="24"/>
          <w:szCs w:val="24"/>
          <w:lang w:val="en-US" w:eastAsia="zh-CN"/>
        </w:rPr>
        <w:t>工艺参数</w:t>
      </w:r>
    </w:p>
    <w:p w14:paraId="1B1AA5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氧化反应釜内温度和压力；氧化反应釜内搅拌速率；氧化剂流量；反应物料的配比；气相氧含量；过氧化物含量。</w:t>
      </w:r>
    </w:p>
    <w:p w14:paraId="626FA932">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5.7.</w:t>
      </w:r>
      <w:r>
        <w:rPr>
          <w:rFonts w:hint="eastAsia" w:ascii="宋体" w:hAnsi="宋体" w:eastAsia="宋体" w:cs="宋体"/>
          <w:color w:val="auto"/>
          <w:sz w:val="24"/>
          <w:szCs w:val="24"/>
          <w:lang w:val="en-US" w:eastAsia="zh-CN"/>
        </w:rPr>
        <w:t>危化工艺安全考核软件要求</w:t>
      </w:r>
    </w:p>
    <w:p w14:paraId="7BE242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该软件应结合《安监总宣教〔2014〕139号国家安全监管总局关于印发特种作业安全技术实际操作考试标准及考试点设备配备标准（试行）的通知》的标准设计开发，能够用于危化生产从业人员培训和考试的考培系统，软件涉及的工艺流程、科目3（作业现场安全隐患排除，简称K3）和科目4（作业现场应急处置，简称K4）考试内容、考试评分标准内容需结合《特种作业安全技术实际操作考试标准（试行）》的标准来设计开发。</w:t>
      </w:r>
    </w:p>
    <w:p w14:paraId="4548C7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软件应包含但不限于以下功能：</w:t>
      </w:r>
    </w:p>
    <w:p w14:paraId="7AC8CB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①操作软件采用DCS模拟仿真技术，以DCS组态界面的形式呈现工艺与场景的操作流程。</w:t>
      </w:r>
    </w:p>
    <w:p w14:paraId="5DDCB2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②作业现场安全隐患排除包括停电、停蒸汽、停冷却水、物料中断、泵坏、阀卡常见的工艺事故，作业现场应急处置包括着火、泄漏、中毒典型的安全事故。</w:t>
      </w:r>
    </w:p>
    <w:p w14:paraId="74C69D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③系统后台运行动态的模拟数据，并配有相应的智能评分系统，对学员的操作进行智能判断并给出成绩。</w:t>
      </w:r>
    </w:p>
    <w:p w14:paraId="2D4259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作业现场应急处置操作过程中设有班长、内操、外操、安全员多种不同的角色；人物角色具有装备穿戴选择和工具选择功能；角色之间具备对话交流情节功能；软件具有事故应急预案广播通知功能；在组态界面中可实现警戒线设置、消防车引导、救护车引导、灭火器使用、消防水炮启用。</w:t>
      </w:r>
    </w:p>
    <w:p w14:paraId="17AD0293">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5.8.</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color w:val="auto"/>
          <w:kern w:val="2"/>
          <w:sz w:val="24"/>
          <w:szCs w:val="24"/>
          <w:lang w:val="en-US" w:eastAsia="zh-CN" w:bidi="ar-SA"/>
        </w:rPr>
        <w:t>主要</w:t>
      </w:r>
      <w:r>
        <w:rPr>
          <w:rFonts w:hint="eastAsia" w:ascii="宋体" w:hAnsi="宋体" w:eastAsia="宋体" w:cs="宋体"/>
          <w:color w:val="auto"/>
          <w:sz w:val="24"/>
          <w:szCs w:val="24"/>
          <w:lang w:val="en-US" w:eastAsia="zh-CN"/>
        </w:rPr>
        <w:t>参数</w:t>
      </w:r>
    </w:p>
    <w:tbl>
      <w:tblPr>
        <w:tblStyle w:val="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2"/>
        <w:gridCol w:w="1433"/>
        <w:gridCol w:w="5946"/>
        <w:gridCol w:w="724"/>
        <w:gridCol w:w="793"/>
      </w:tblGrid>
      <w:tr w14:paraId="6A4C3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EDAE34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C497E6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名称</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EA6F4B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规格型号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0D5D48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数量</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8A0F98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单位</w:t>
            </w:r>
          </w:p>
        </w:tc>
      </w:tr>
      <w:tr w14:paraId="4766C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1AD614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bCs/>
                <w:i w:val="0"/>
                <w:iCs w:val="0"/>
                <w:color w:val="auto"/>
                <w:kern w:val="0"/>
                <w:sz w:val="21"/>
                <w:szCs w:val="21"/>
                <w:highlight w:val="none"/>
                <w:u w:val="none"/>
                <w:lang w:val="en-US" w:eastAsia="zh-CN" w:bidi="ar"/>
              </w:rPr>
              <w:t>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3609A1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框架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6D1CB5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kern w:val="0"/>
                <w:sz w:val="21"/>
                <w:szCs w:val="21"/>
                <w:highlight w:val="none"/>
                <w:lang w:bidi="ar"/>
              </w:rPr>
              <w:t>框架尺寸长×宽×高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3250</w:t>
            </w:r>
            <w:r>
              <w:rPr>
                <w:rFonts w:hint="eastAsia" w:ascii="宋体" w:hAnsi="宋体" w:eastAsia="宋体" w:cs="宋体"/>
                <w:color w:val="auto"/>
                <w:kern w:val="0"/>
                <w:sz w:val="21"/>
                <w:szCs w:val="21"/>
                <w:highlight w:val="none"/>
                <w:lang w:bidi="ar"/>
              </w:rPr>
              <w:t>mm，</w:t>
            </w:r>
            <w:r>
              <w:rPr>
                <w:rFonts w:hint="eastAsia" w:ascii="宋体" w:hAnsi="宋体" w:eastAsia="宋体" w:cs="宋体"/>
                <w:color w:val="auto"/>
                <w:kern w:val="0"/>
                <w:sz w:val="21"/>
                <w:szCs w:val="21"/>
                <w:highlight w:val="none"/>
                <w:lang w:eastAsia="zh-CN" w:bidi="ar"/>
              </w:rPr>
              <w:t>设备尺寸</w:t>
            </w:r>
            <w:r>
              <w:rPr>
                <w:rFonts w:hint="eastAsia" w:ascii="宋体" w:hAnsi="宋体" w:eastAsia="宋体" w:cs="宋体"/>
                <w:color w:val="auto"/>
                <w:kern w:val="0"/>
                <w:sz w:val="21"/>
                <w:szCs w:val="21"/>
                <w:highlight w:val="none"/>
                <w:lang w:bidi="ar"/>
              </w:rPr>
              <w:t>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5800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2950</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3570</w:t>
            </w:r>
            <w:r>
              <w:rPr>
                <w:rFonts w:hint="eastAsia" w:ascii="宋体" w:hAnsi="宋体" w:eastAsia="宋体" w:cs="宋体"/>
                <w:color w:val="auto"/>
                <w:kern w:val="0"/>
                <w:sz w:val="21"/>
                <w:szCs w:val="21"/>
                <w:highlight w:val="none"/>
                <w:lang w:bidi="ar"/>
              </w:rPr>
              <w:t>mm。此设备框架立柱型材规格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150*150*7*10mmH型钢。框架为钢结构二层平台带楼梯，一层方便人员进入操作；二层平台主梁型材规格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150*150*7*10mmH型钢，次梁型材规格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100*50*4mm冷弯型钢、</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60*40*4mm冷弯型钢及5#等边角铁。平台铺板型号规格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3mm（含扁豆纹高度）热轧花纹钢板。护栏型材规格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40*40*2mm冷弯型钢，护栏踢脚板型材规格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100*3mm扁钢。楼梯型材规格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180*50*20*3mmC型钢，楼梯踏板</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700*250*4mm（含扁豆纹高度）热轧花纹钢板折弯件。</w:t>
            </w:r>
            <w:r>
              <w:rPr>
                <w:rFonts w:hint="eastAsia" w:ascii="宋体" w:hAnsi="宋体" w:eastAsia="宋体" w:cs="宋体"/>
                <w:i w:val="0"/>
                <w:iCs w:val="0"/>
                <w:color w:val="auto"/>
                <w:kern w:val="0"/>
                <w:sz w:val="21"/>
                <w:szCs w:val="21"/>
                <w:highlight w:val="none"/>
                <w:u w:val="none"/>
                <w:lang w:val="en-US" w:eastAsia="zh-CN" w:bidi="ar"/>
              </w:rPr>
              <w:t>两层设计，带步梯和栏杆。</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7FED8E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40B8AC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154E3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9760B0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i w:val="0"/>
                <w:iCs w:val="0"/>
                <w:color w:val="auto"/>
                <w:kern w:val="0"/>
                <w:sz w:val="21"/>
                <w:szCs w:val="21"/>
                <w:highlight w:val="none"/>
                <w:u w:val="none"/>
                <w:lang w:val="en-US" w:eastAsia="zh-CN" w:bidi="ar"/>
              </w:rPr>
              <w:t>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65CF6C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空气过滤器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D141F9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工业空气管道式过滤器模型，DN50，L=500mm。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2689D7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0F3452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56EE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36E79CC">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6EB786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甲醇蒸发器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6AB4C0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≥φ219*1200mm，列管式换热器，304不锈钢镜面。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B57227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568198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35BBB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C5DA49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71AA6A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固定床反应器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F7F5FE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≥φ350*1600mm，固定列管式反应器，304不锈钢镜面。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1B4B97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2FB296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491B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2BC079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6868BE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导热废热锅炉</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8EFA2B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≥φ273*1200mm，固定列管式反应器，304不锈钢镜面。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1D6D1D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E6D122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00265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45A7819">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9906AF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吸收塔</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2173AE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≥φ325*3200mm，两段式吸收塔，304不锈钢镜面。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39721D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F70FB7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118E7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B4B550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29024F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尾气处理器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264A2B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≥φ219*1000mm，列管式换热器，304不锈钢镜面。</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14FE5C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F0A9BE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2E33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C8CDA1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DBF991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稀甲醛冷却器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A75EA4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板式换热器，碳钢材质。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FACF49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131DA7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3AF7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83FF0C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FEC6F0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消音器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289969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工业消音器管道模型，DN20，L=300mm。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93982F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7C7A3B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31665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672F84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BE220E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加压风机</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67C4A8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工业风机仿真模型，光电效果模拟运行；DCS操作按钮。</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06EB4A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DCCDB6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3B98A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4D0E12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24DD7A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产品循环泵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7AE68A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工业离心泵仿真模型，光电效果模拟运行；操作柱：开停按钮及指示显示。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9AD63C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3671BE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654C8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E9C7D3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656F3E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温度计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AFD919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仿真温度计，4—20mA信号输入，液晶显示。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CD4D05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73BD97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2595F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CA1CA4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5F834A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压力表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9A069C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仿真压力表，4—20mA信号输入，液晶显示数值或指针压力表，指针可动。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19124A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D6A151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7845F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3E1F32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21BCAF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流量计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8046FE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仿真流量计，4—20mA信号输入，液晶显示数值。</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25D839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D5AA8E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3ECFF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166B2D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DFA2C9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液位计</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E28721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仿真液位计，4—20mA信号输入</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715258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9CDFB4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7F36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18D45A8">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FC97A0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手动阀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5AA751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仿真球阀和截止阀，开关量现场显示和远传。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05E5D9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E7BD9F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439A5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AB7852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A17248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自动阀</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B3D105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自动调节阀和电磁阀，其中调节阀开度值现场显示和远传，电磁阀远传显示。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0B10F64">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A803C1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r>
      <w:tr w14:paraId="59773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C9DDF2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0E628E9">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报警器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5DDCFC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模拟现场可燃气体报警和有毒气体报警，声光显示。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AC8F4A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91D002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5DA6F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DB1BA2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7D99F00">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报警灯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E1CF15F">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119报警灯，用于事故的警示、紧急救援的预警，声光报警。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3722AB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A5F50B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6CFD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B6AA0A6">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7A279EA">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泄漏模拟系统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8D6E1D4">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rPr>
              <w:t>模拟泄漏事故现象，配合考核系统完成泄漏事故操作。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755DC8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4E3E2E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CF83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AD8415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5960124">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着火模拟系统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D3CB510">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模拟着火事故现象，配合考核系统完成着火事故操作。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578DDA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0351E7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7E15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7E1516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E62370F">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灭火模拟系统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9FFDDBF">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模拟灭火器的</w:t>
            </w:r>
            <w:r>
              <w:rPr>
                <w:rFonts w:hint="eastAsia" w:ascii="宋体" w:hAnsi="宋体" w:eastAsia="宋体" w:cs="宋体"/>
                <w:color w:val="auto"/>
                <w:kern w:val="0"/>
                <w:sz w:val="21"/>
                <w:szCs w:val="21"/>
                <w:highlight w:val="none"/>
                <w:lang w:eastAsia="zh-CN"/>
              </w:rPr>
              <w:t>使用</w:t>
            </w:r>
            <w:r>
              <w:rPr>
                <w:rFonts w:hint="eastAsia" w:ascii="宋体" w:hAnsi="宋体" w:eastAsia="宋体" w:cs="宋体"/>
                <w:color w:val="auto"/>
                <w:kern w:val="0"/>
                <w:sz w:val="21"/>
                <w:szCs w:val="21"/>
                <w:highlight w:val="none"/>
              </w:rPr>
              <w:t>，配合考核系统完成相应事故操作。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6D0654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909A1E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5F8CB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71C8A2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CBB0ECF">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警戒隔离模拟系统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75A7A3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模拟设置警戒隔离区域，配合考核系统完成相应事故操作。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46EE6F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B45DDD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3C9F0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7036D1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A627293">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模拟接地系统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493C4DC">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静电接地线、静电跨接带。</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70E6C0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4E0C6C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6626E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D16412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04F0B0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模拟静电消除</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38AA57D">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静电释放器。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E11AF6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03D876F">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31069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C40538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CF5DB6B">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行为智能检测</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2427ABA">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人员实操行为的自动检测与智能评判，配套智能摄像头与智能评判软件。</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02EFFF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BEFD16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5C568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1232D2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6B1A6FC">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集中管控系统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80C2E7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电气系统一键开关，配套空开与管控系统。</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8DF9C2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35F931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1F84C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9F9601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27A8F8C">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其他阀门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D468AC8">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与设备、工艺、管线配套。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C98FC3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943A26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批</w:t>
            </w:r>
          </w:p>
        </w:tc>
      </w:tr>
      <w:tr w14:paraId="31BCF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6AB992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6A2715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紧固件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1316F1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与法兰，阀门，框架、支架配合；螺栓和垫片的材质与本工艺的设备、管件以及涉及的物料相匹配。</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3C725B0">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CD0189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50C90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9DF86D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A1F88A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智能仪表电器控制柜</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22B5BB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供电电压220V。智能仪表电器控制台：钢制喷塑材质，内安装有配电盘、旋钮式强电开关控制、分相电压表、急停按钮，配电盘上安装有漏电保护器、24V开关电源，接触器，固态继电器，AO模块、AI模块、DO模块、DI模块，信号线均采用屏蔽线，电源线均采用国标阻燃线，电线通过工业级喷塑桥架（或镀锌桥架）与现场装置、仪表连接，强电弱电分离，杜绝信号干扰。</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FEE8A2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63C652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r>
      <w:tr w14:paraId="00AF4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7C0D87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4C9045E">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智能考试终端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88B058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CPU：核心≥6，线程≥12，智能缓存≥18MB；内存：≥4GB；独显：≥2G；硬盘：≥128G固态硬盘。 </w:t>
            </w:r>
          </w:p>
          <w:p w14:paraId="46D70C8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≥21.5 英寸WLED液晶显示器/串口，配无线网卡、键鼠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92EDFB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8F49C5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490D5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8928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32</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E6C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软件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4A2F119">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auto"/>
                <w:kern w:val="0"/>
                <w:sz w:val="21"/>
                <w:szCs w:val="21"/>
                <w:highlight w:val="yellow"/>
                <w:lang w:val="en-US" w:eastAsia="zh-CN"/>
              </w:rPr>
            </w:pPr>
            <w:r>
              <w:rPr>
                <w:rFonts w:hint="eastAsia" w:ascii="宋体" w:hAnsi="宋体" w:eastAsia="宋体" w:cs="宋体"/>
                <w:i w:val="0"/>
                <w:iCs w:val="0"/>
                <w:color w:val="auto"/>
                <w:kern w:val="0"/>
                <w:sz w:val="21"/>
                <w:szCs w:val="21"/>
                <w:highlight w:val="none"/>
                <w:u w:val="none"/>
                <w:lang w:val="en-US" w:eastAsia="zh-CN" w:bidi="ar"/>
              </w:rPr>
              <w:t>满足</w:t>
            </w:r>
            <w:r>
              <w:rPr>
                <w:rFonts w:hint="eastAsia" w:ascii="宋体" w:hAnsi="宋体" w:eastAsia="宋体" w:cs="宋体"/>
                <w:b w:val="0"/>
                <w:bCs w:val="0"/>
                <w:color w:val="auto"/>
                <w:kern w:val="0"/>
                <w:sz w:val="21"/>
                <w:szCs w:val="21"/>
                <w:highlight w:val="none"/>
                <w:u w:val="none"/>
                <w:lang w:val="en-US" w:eastAsia="zh-CN" w:bidi="ar"/>
              </w:rPr>
              <w:t>《安监总宣教〔2014〕139号国家安全监管总局关于印发特种作业安全技术实际操作考试标准及考试点设备配备标准（试行）的通知》</w:t>
            </w:r>
            <w:r>
              <w:rPr>
                <w:rFonts w:hint="eastAsia" w:ascii="宋体" w:hAnsi="宋体" w:cs="宋体"/>
                <w:b w:val="0"/>
                <w:bCs w:val="0"/>
                <w:color w:val="auto"/>
                <w:kern w:val="0"/>
                <w:sz w:val="21"/>
                <w:szCs w:val="21"/>
                <w:highlight w:val="none"/>
                <w:u w:val="none"/>
                <w:lang w:val="en-US" w:eastAsia="zh-CN" w:bidi="ar"/>
              </w:rPr>
              <w:t>的培训考核项目要求</w:t>
            </w:r>
            <w:r>
              <w:rPr>
                <w:rFonts w:hint="eastAsia" w:ascii="宋体" w:hAnsi="宋体" w:eastAsia="宋体" w:cs="宋体"/>
                <w:i w:val="0"/>
                <w:iCs w:val="0"/>
                <w:color w:val="auto"/>
                <w:kern w:val="0"/>
                <w:sz w:val="21"/>
                <w:szCs w:val="21"/>
                <w:highlight w:val="none"/>
                <w:u w:val="none"/>
                <w:lang w:val="en-US" w:eastAsia="zh-CN" w:bidi="ar"/>
              </w:rPr>
              <w:t>，支撑考核设备具备随机模拟产生各作业工艺操作过程中相应的紧急情况，实现紧急处置操作考核的功能；具备网络自动出题、考核结束设备智能判分的功能。</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6ECE64A">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6195E6B">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bl>
    <w:p w14:paraId="5669E818">
      <w:pPr>
        <w:keepNext/>
        <w:keepLines/>
        <w:pageBreakBefore w:val="0"/>
        <w:widowControl w:val="0"/>
        <w:numPr>
          <w:ilvl w:val="1"/>
          <w:numId w:val="0"/>
        </w:numPr>
        <w:kinsoku/>
        <w:wordWrap/>
        <w:overflowPunct/>
        <w:topLinePunct w:val="0"/>
        <w:autoSpaceDE/>
        <w:autoSpaceDN/>
        <w:bidi w:val="0"/>
        <w:adjustRightInd/>
        <w:snapToGrid/>
        <w:spacing w:before="0" w:beforeLines="0" w:after="0" w:line="360" w:lineRule="auto"/>
        <w:textAlignment w:val="auto"/>
        <w:outlineLvl w:val="9"/>
        <w:rPr>
          <w:rFonts w:hint="eastAsia" w:ascii="宋体" w:hAnsi="宋体" w:eastAsia="宋体" w:cs="宋体"/>
          <w:b/>
          <w:bCs w:val="0"/>
          <w:color w:val="auto"/>
          <w:kern w:val="2"/>
          <w:sz w:val="28"/>
          <w:szCs w:val="22"/>
          <w:lang w:val="en-US" w:eastAsia="zh-CN" w:bidi="ar-SA"/>
        </w:rPr>
      </w:pPr>
      <w:bookmarkStart w:id="224" w:name="_Toc3806"/>
      <w:bookmarkStart w:id="225" w:name="_Toc15343"/>
      <w:bookmarkStart w:id="226" w:name="_Toc8840"/>
    </w:p>
    <w:p w14:paraId="525844EA">
      <w:pPr>
        <w:pStyle w:val="4"/>
        <w:keepNext/>
        <w:keepLines/>
        <w:pageBreakBefore w:val="0"/>
        <w:widowControl w:val="0"/>
        <w:numPr>
          <w:ilvl w:val="1"/>
          <w:numId w:val="0"/>
        </w:numPr>
        <w:kinsoku/>
        <w:wordWrap/>
        <w:overflowPunct/>
        <w:topLinePunct w:val="0"/>
        <w:autoSpaceDE/>
        <w:autoSpaceDN/>
        <w:bidi w:val="0"/>
        <w:adjustRightInd/>
        <w:snapToGrid/>
        <w:spacing w:before="0" w:beforeLines="0" w:after="0" w:line="360" w:lineRule="auto"/>
        <w:jc w:val="left"/>
        <w:textAlignment w:val="auto"/>
        <w:outlineLvl w:val="2"/>
        <w:rPr>
          <w:rFonts w:hint="eastAsia" w:ascii="宋体" w:hAnsi="宋体" w:eastAsia="宋体" w:cs="宋体"/>
          <w:b/>
          <w:bCs w:val="0"/>
          <w:color w:val="auto"/>
          <w:sz w:val="28"/>
          <w:szCs w:val="22"/>
          <w:lang w:val="en-US" w:eastAsia="zh-CN"/>
        </w:rPr>
      </w:pPr>
      <w:r>
        <w:rPr>
          <w:rFonts w:hint="eastAsia" w:ascii="宋体" w:hAnsi="宋体" w:eastAsia="宋体" w:cs="宋体"/>
          <w:b/>
          <w:bCs w:val="0"/>
          <w:color w:val="auto"/>
          <w:kern w:val="2"/>
          <w:sz w:val="28"/>
          <w:szCs w:val="22"/>
          <w:lang w:val="en-US" w:eastAsia="zh-CN" w:bidi="ar-SA"/>
        </w:rPr>
        <w:t>（六）</w:t>
      </w:r>
      <w:r>
        <w:rPr>
          <w:rFonts w:hint="eastAsia" w:ascii="宋体" w:hAnsi="宋体" w:eastAsia="宋体" w:cs="宋体"/>
          <w:b/>
          <w:bCs w:val="0"/>
          <w:color w:val="auto"/>
          <w:sz w:val="28"/>
          <w:szCs w:val="22"/>
          <w:lang w:val="en-US" w:eastAsia="zh-CN"/>
        </w:rPr>
        <w:t>危险化学品仓储作业实训装置</w:t>
      </w:r>
      <w:bookmarkEnd w:id="224"/>
      <w:bookmarkEnd w:id="225"/>
      <w:bookmarkEnd w:id="226"/>
    </w:p>
    <w:p w14:paraId="5E66AB8F">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6.1.装置</w:t>
      </w:r>
      <w:r>
        <w:rPr>
          <w:rFonts w:hint="eastAsia" w:ascii="宋体" w:hAnsi="宋体" w:eastAsia="宋体" w:cs="宋体"/>
          <w:color w:val="auto"/>
          <w:sz w:val="24"/>
          <w:szCs w:val="24"/>
          <w:lang w:val="en-US" w:eastAsia="zh-CN"/>
        </w:rPr>
        <w:t>概述</w:t>
      </w:r>
    </w:p>
    <w:p w14:paraId="5B4E55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应基于相关国家法规与标准要求设计开发，系统以当前危险化学品企业广泛应用的仓储作业为基础，通过仿真模拟的形式，实现了基于实物仿真的培训与考核装置。该系统应能够模拟真实仓储作业场景，包括安全操作流程、数据异常诊断与处置、事故应急处置，以提高学员的真实仓储作业安全操作技能。系统紧扣考试大纲和标准，完全按照工业规范设计建造，确保培训与考核的合规性和专业性。</w:t>
      </w:r>
    </w:p>
    <w:p w14:paraId="4E62E513">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6.2.装置</w:t>
      </w:r>
      <w:r>
        <w:rPr>
          <w:rFonts w:hint="eastAsia" w:ascii="宋体" w:hAnsi="宋体" w:eastAsia="宋体" w:cs="宋体"/>
          <w:color w:val="auto"/>
          <w:sz w:val="24"/>
          <w:szCs w:val="24"/>
          <w:lang w:val="en-US" w:eastAsia="zh-CN"/>
        </w:rPr>
        <w:t>设计要求</w:t>
      </w:r>
    </w:p>
    <w:p w14:paraId="1607F6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系统设计紧扣危险化学品仓储作业的实际需求，现场装置根据实际生产中的危险化学品仓储车间按一定比例缩小组成，使学员能够全面了解仓储作业的安全操作流程及国家相关标准。系统具备实操考核功能，考核标准与考试大纲要求严格对应，确保培训与考核的准确性和有效性。同时，系统采取仿真模拟运行，保证本质安全，运行成本低，完全按照危险化学品仓储作业安全操作流程进行制定。此外，系统还能完成技能培训和安全教育，包括开工培训、在岗人员技能培训、转岗人员与新入厂员工的技能培训和安全教育，全面提升学员的仓储作业能力和安全意识。</w:t>
      </w:r>
    </w:p>
    <w:p w14:paraId="76872638">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6.3.</w:t>
      </w:r>
      <w:r>
        <w:rPr>
          <w:rFonts w:hint="eastAsia" w:ascii="宋体" w:hAnsi="宋体" w:eastAsia="宋体" w:cs="宋体"/>
          <w:color w:val="auto"/>
          <w:sz w:val="24"/>
          <w:szCs w:val="24"/>
          <w:lang w:val="en-US" w:eastAsia="zh-CN"/>
        </w:rPr>
        <w:t>配套辅助内容</w:t>
      </w:r>
    </w:p>
    <w:p w14:paraId="1A34C7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lang w:val="en-US" w:eastAsia="zh-CN"/>
        </w:rPr>
        <w:t>为进一步提升培训应用效果，本系统还应配备知识点学习系统和安全防护用品穿戴系统。知识点学习系统通过在现场装置的所有设备上部署二维码，用户可使用手机、平板移动设备扫描二维码，即可学习危险化学品储存和出入库的安全操作流程以及各危险化学品的MSDS知识点。安全防护用品穿戴系统则利用3D虚拟放置技术开发，模拟进入现场实操需要佩戴的安全防护用具，增强学员的安全防护意识。这些辅助操作系统的加入，使得本系统更加完善，能够更好地满足学员的学习和培训需求。</w:t>
      </w:r>
    </w:p>
    <w:p w14:paraId="4516D2AB">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6.4.</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color w:val="auto"/>
          <w:kern w:val="2"/>
          <w:sz w:val="24"/>
          <w:szCs w:val="24"/>
          <w:lang w:val="en-US" w:eastAsia="zh-CN" w:bidi="ar-SA"/>
        </w:rPr>
        <w:t>主要</w:t>
      </w:r>
      <w:r>
        <w:rPr>
          <w:rFonts w:hint="eastAsia" w:ascii="宋体" w:hAnsi="宋体" w:eastAsia="宋体" w:cs="宋体"/>
          <w:color w:val="auto"/>
          <w:sz w:val="24"/>
          <w:szCs w:val="24"/>
          <w:lang w:val="en-US" w:eastAsia="zh-CN"/>
        </w:rPr>
        <w:t>参数</w:t>
      </w:r>
    </w:p>
    <w:tbl>
      <w:tblPr>
        <w:tblStyle w:val="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2"/>
        <w:gridCol w:w="1433"/>
        <w:gridCol w:w="5946"/>
        <w:gridCol w:w="724"/>
        <w:gridCol w:w="793"/>
      </w:tblGrid>
      <w:tr w14:paraId="20A9B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27F25EC">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DA17709">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名称</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3C97203">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规格型号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02FFCC8">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数量</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07698EE">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单位</w:t>
            </w:r>
          </w:p>
        </w:tc>
      </w:tr>
      <w:tr w14:paraId="24C04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C300325">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bCs/>
                <w:i w:val="0"/>
                <w:iCs w:val="0"/>
                <w:color w:val="auto"/>
                <w:kern w:val="0"/>
                <w:sz w:val="21"/>
                <w:szCs w:val="21"/>
                <w:highlight w:val="none"/>
                <w:u w:val="none"/>
                <w:lang w:val="en-US" w:eastAsia="zh-CN" w:bidi="ar"/>
              </w:rPr>
              <w:t>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3616D9C">
            <w:pPr>
              <w:keepNext w:val="0"/>
              <w:keepLines w:val="0"/>
              <w:pageBreakBefore w:val="0"/>
              <w:widowControl/>
              <w:suppressLineNumbers w:val="0"/>
              <w:kinsoku/>
              <w:wordWrap/>
              <w:overflowPunct/>
              <w:topLinePunct w:val="0"/>
              <w:bidi w:val="0"/>
              <w:adjustRightInd/>
              <w:snapToGrid/>
              <w:spacing w:line="360" w:lineRule="auto"/>
              <w:ind w:firstLine="0" w:firstLineChars="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vertAlign w:val="baseline"/>
                <w:lang w:val="en-US" w:eastAsia="zh-CN"/>
              </w:rPr>
              <w:t>危险化学品仓库</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2CBC488">
            <w:pPr>
              <w:keepNext w:val="0"/>
              <w:keepLines w:val="0"/>
              <w:pageBreakBefore w:val="0"/>
              <w:widowControl/>
              <w:kinsoku/>
              <w:wordWrap/>
              <w:overflowPunct/>
              <w:topLinePunct w:val="0"/>
              <w:bidi w:val="0"/>
              <w:adjustRightInd/>
              <w:snapToGrid/>
              <w:spacing w:line="360" w:lineRule="auto"/>
              <w:ind w:firstLine="0" w:firstLineChars="0"/>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sz w:val="21"/>
                <w:szCs w:val="21"/>
                <w:vertAlign w:val="baseline"/>
                <w:lang w:val="en-US" w:eastAsia="zh-CN"/>
              </w:rPr>
              <w:t>对象部分长*宽*高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vertAlign w:val="baseline"/>
                <w:lang w:val="en-US" w:eastAsia="zh-CN"/>
              </w:rPr>
              <w:t>6000*2000*3000mm（可根据场地定制）。</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D182ADE">
            <w:pPr>
              <w:pStyle w:val="31"/>
              <w:keepNext w:val="0"/>
              <w:keepLines w:val="0"/>
              <w:pageBreakBefore w:val="0"/>
              <w:widowControl/>
              <w:kinsoku/>
              <w:wordWrap/>
              <w:overflowPunct/>
              <w:topLinePunct w:val="0"/>
              <w:bidi w:val="0"/>
              <w:adjustRightInd/>
              <w:snapToGrid/>
              <w:spacing w:line="360" w:lineRule="auto"/>
              <w:ind w:firstLine="0" w:firstLineChars="0"/>
              <w:jc w:val="both"/>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vertAlign w:val="baseline"/>
                <w:lang w:val="en-US" w:eastAsia="zh-CN"/>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4E5F226">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套</w:t>
            </w:r>
          </w:p>
        </w:tc>
      </w:tr>
      <w:tr w14:paraId="6E9CA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E0FE2BA">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i w:val="0"/>
                <w:iCs w:val="0"/>
                <w:color w:val="auto"/>
                <w:kern w:val="0"/>
                <w:sz w:val="21"/>
                <w:szCs w:val="21"/>
                <w:highlight w:val="none"/>
                <w:u w:val="none"/>
                <w:lang w:val="en-US" w:eastAsia="zh-CN" w:bidi="ar"/>
              </w:rPr>
              <w:t>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1D51F08">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2"/>
                <w:sz w:val="21"/>
                <w:szCs w:val="21"/>
                <w:lang w:val="en-US" w:eastAsia="zh-CN" w:bidi="ar-SA"/>
              </w:rPr>
              <w:t>危险化学品储存桶</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052A856">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实物模型。</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19A489F">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7F0CD04">
            <w:pPr>
              <w:keepNext w:val="0"/>
              <w:keepLines w:val="0"/>
              <w:pageBreakBefore w:val="0"/>
              <w:widowControl/>
              <w:numPr>
                <w:ilvl w:val="0"/>
                <w:numId w:val="0"/>
              </w:numPr>
              <w:shd w:val="clear" w:color="auto" w:fill="auto"/>
              <w:kinsoku/>
              <w:wordWrap/>
              <w:overflowPunct/>
              <w:topLinePunct w:val="0"/>
              <w:bidi w:val="0"/>
              <w:adjustRightInd/>
              <w:snapToGrid/>
              <w:spacing w:line="360" w:lineRule="auto"/>
              <w:ind w:left="0" w:leftChars="0"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i w:val="0"/>
                <w:iCs w:val="0"/>
                <w:color w:val="auto"/>
                <w:kern w:val="0"/>
                <w:sz w:val="21"/>
                <w:szCs w:val="21"/>
                <w:highlight w:val="none"/>
                <w:u w:val="none"/>
                <w:lang w:val="en-US" w:eastAsia="zh-CN" w:bidi="ar"/>
              </w:rPr>
              <w:t>批</w:t>
            </w:r>
          </w:p>
        </w:tc>
      </w:tr>
      <w:tr w14:paraId="34E9D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6F3171F">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B2A851C">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val="en-US" w:eastAsia="zh-CN"/>
              </w:rPr>
              <w:t>灭火系统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23061D7">
            <w:pPr>
              <w:pStyle w:val="227"/>
              <w:keepNext w:val="0"/>
              <w:keepLines w:val="0"/>
              <w:pageBreakBefore w:val="0"/>
              <w:widowControl/>
              <w:numPr>
                <w:ilvl w:val="0"/>
                <w:numId w:val="0"/>
              </w:numPr>
              <w:kinsoku/>
              <w:wordWrap/>
              <w:overflowPunct/>
              <w:topLinePunct w:val="0"/>
              <w:bidi w:val="0"/>
              <w:adjustRightInd/>
              <w:snapToGrid/>
              <w:spacing w:line="360" w:lineRule="auto"/>
              <w:ind w:left="0" w:lef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lang w:val="en-US" w:eastAsia="zh-CN"/>
              </w:rPr>
              <w:t>消防设施。</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C2CFAE3">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D00682F">
            <w:pPr>
              <w:keepNext w:val="0"/>
              <w:keepLines w:val="0"/>
              <w:pageBreakBefore w:val="0"/>
              <w:widowControl/>
              <w:numPr>
                <w:ilvl w:val="0"/>
                <w:numId w:val="0"/>
              </w:numPr>
              <w:shd w:val="clear" w:color="auto" w:fill="auto"/>
              <w:kinsoku/>
              <w:wordWrap/>
              <w:overflowPunct/>
              <w:topLinePunct w:val="0"/>
              <w:bidi w:val="0"/>
              <w:adjustRightInd/>
              <w:snapToGrid/>
              <w:spacing w:line="360" w:lineRule="auto"/>
              <w:ind w:left="0" w:lef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套</w:t>
            </w:r>
          </w:p>
        </w:tc>
      </w:tr>
      <w:tr w14:paraId="2DF4A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F5ECF97">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9FADC37">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val="en-US" w:eastAsia="zh-CN"/>
              </w:rPr>
              <w:t>温控系统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9969FE9">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sz w:val="21"/>
                <w:szCs w:val="21"/>
                <w:highlight w:val="none"/>
                <w:lang w:val="en-US" w:eastAsia="zh-CN"/>
              </w:rPr>
              <w:t>空调和配套温度检测系统，空调满足防爆电器要求，仿真模拟实训操作。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7E0E3C5">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val="en-US" w:eastAsia="zh-CN"/>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1786E17">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套</w:t>
            </w:r>
          </w:p>
        </w:tc>
      </w:tr>
      <w:tr w14:paraId="1C621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FCD71FF">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D9D9A6A">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i w:val="0"/>
                <w:iCs w:val="0"/>
                <w:color w:val="auto"/>
                <w:sz w:val="21"/>
                <w:szCs w:val="21"/>
                <w:highlight w:val="none"/>
                <w:u w:val="none"/>
              </w:rPr>
            </w:pPr>
            <w:r>
              <w:rPr>
                <w:rFonts w:hint="eastAsia" w:ascii="宋体" w:hAnsi="宋体" w:cs="宋体"/>
                <w:color w:val="auto"/>
                <w:kern w:val="0"/>
                <w:sz w:val="21"/>
                <w:szCs w:val="21"/>
                <w:highlight w:val="none"/>
                <w:lang w:val="en-US" w:eastAsia="zh-CN" w:bidi="ar"/>
              </w:rPr>
              <w:t>模拟</w:t>
            </w:r>
            <w:r>
              <w:rPr>
                <w:rFonts w:hint="eastAsia" w:ascii="宋体" w:hAnsi="宋体" w:eastAsia="宋体" w:cs="宋体"/>
                <w:color w:val="auto"/>
                <w:kern w:val="0"/>
                <w:sz w:val="21"/>
                <w:szCs w:val="21"/>
                <w:highlight w:val="none"/>
                <w:lang w:val="en-US" w:eastAsia="zh-CN" w:bidi="ar"/>
              </w:rPr>
              <w:t>监控探测系统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FE0DDEB">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kern w:val="0"/>
                <w:sz w:val="21"/>
                <w:szCs w:val="21"/>
                <w:highlight w:val="none"/>
                <w:lang w:val="en-US" w:eastAsia="zh-CN" w:bidi="ar"/>
              </w:rPr>
              <w:t>监控摄像头，火灾探测器，有毒气体探测器，感温探测器。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BEF1A5D">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BD65B39">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套</w:t>
            </w:r>
          </w:p>
        </w:tc>
      </w:tr>
      <w:tr w14:paraId="1A03D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F02EE5A">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BF52D4C">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2"/>
                <w:sz w:val="21"/>
                <w:szCs w:val="21"/>
                <w:lang w:val="en-US" w:eastAsia="zh-CN" w:bidi="ar-SA"/>
              </w:rPr>
              <w:t>个人防护用品</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D53DF42">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2"/>
                <w:sz w:val="21"/>
                <w:szCs w:val="21"/>
                <w:lang w:val="en-US" w:eastAsia="zh-CN" w:bidi="ar-SA"/>
              </w:rPr>
              <w:t>防毒面具、防渗手套、防护鞋、防护眼镜。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BBE999D">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95BEE93">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套</w:t>
            </w:r>
          </w:p>
        </w:tc>
      </w:tr>
      <w:tr w14:paraId="395F5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0E7F701">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C154D81">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2"/>
                <w:sz w:val="21"/>
                <w:szCs w:val="21"/>
                <w:lang w:val="en-US" w:eastAsia="zh-CN" w:bidi="ar-SA"/>
              </w:rPr>
              <w:t>化学品的物质安全资料</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7CE0B98">
            <w:pPr>
              <w:keepNext w:val="0"/>
              <w:keepLines w:val="0"/>
              <w:pageBreakBefore w:val="0"/>
              <w:widowControl/>
              <w:kinsoku/>
              <w:wordWrap/>
              <w:overflowPunct/>
              <w:topLinePunct w:val="0"/>
              <w:bidi w:val="0"/>
              <w:adjustRightInd/>
              <w:snapToGrid/>
              <w:spacing w:line="360" w:lineRule="auto"/>
              <w:ind w:left="0" w:leftChars="0"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2"/>
                <w:sz w:val="21"/>
                <w:szCs w:val="21"/>
                <w:lang w:val="en-US" w:eastAsia="zh-CN" w:bidi="ar-SA"/>
              </w:rPr>
              <w:t>配套展板，标签。</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B3C3C06">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F8F593B">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套</w:t>
            </w:r>
          </w:p>
        </w:tc>
      </w:tr>
      <w:tr w14:paraId="68F74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0048E30">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0DF8D0A">
            <w:pPr>
              <w:keepNext w:val="0"/>
              <w:keepLines w:val="0"/>
              <w:pageBreakBefore w:val="0"/>
              <w:widowControl/>
              <w:kinsoku/>
              <w:wordWrap/>
              <w:overflowPunct/>
              <w:topLinePunct w:val="0"/>
              <w:bidi w:val="0"/>
              <w:adjustRightInd/>
              <w:snapToGrid/>
              <w:spacing w:line="360" w:lineRule="auto"/>
              <w:ind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声音模拟系统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AF312A3">
            <w:pPr>
              <w:keepNext w:val="0"/>
              <w:keepLines w:val="0"/>
              <w:pageBreakBefore w:val="0"/>
              <w:widowControl/>
              <w:kinsoku/>
              <w:wordWrap/>
              <w:overflowPunct/>
              <w:topLinePunct w:val="0"/>
              <w:bidi w:val="0"/>
              <w:adjustRightInd/>
              <w:snapToGrid/>
              <w:spacing w:line="360" w:lineRule="auto"/>
              <w:ind w:firstLine="0" w:firstLineChars="0"/>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模拟现场设备正常运转声音及事故状态下声音，及呼救声音。</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F937BE9">
            <w:pPr>
              <w:keepNext w:val="0"/>
              <w:keepLines w:val="0"/>
              <w:pageBreakBefore w:val="0"/>
              <w:widowControl/>
              <w:kinsoku/>
              <w:wordWrap/>
              <w:overflowPunct/>
              <w:topLinePunct w:val="0"/>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A0AA0FE">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套</w:t>
            </w:r>
          </w:p>
        </w:tc>
      </w:tr>
      <w:tr w14:paraId="4A53F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941E090">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FB80D2A">
            <w:pPr>
              <w:keepNext w:val="0"/>
              <w:keepLines w:val="0"/>
              <w:pageBreakBefore w:val="0"/>
              <w:widowControl/>
              <w:kinsoku/>
              <w:wordWrap/>
              <w:overflowPunct/>
              <w:topLinePunct w:val="0"/>
              <w:bidi w:val="0"/>
              <w:adjustRightInd/>
              <w:snapToGrid/>
              <w:spacing w:line="360" w:lineRule="auto"/>
              <w:ind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泄漏模拟系统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5864F9D">
            <w:pPr>
              <w:keepNext w:val="0"/>
              <w:keepLines w:val="0"/>
              <w:pageBreakBefore w:val="0"/>
              <w:widowControl/>
              <w:kinsoku/>
              <w:wordWrap/>
              <w:overflowPunct/>
              <w:topLinePunct w:val="0"/>
              <w:bidi w:val="0"/>
              <w:adjustRightInd/>
              <w:snapToGrid/>
              <w:spacing w:line="360" w:lineRule="auto"/>
              <w:ind w:firstLine="0" w:firstLineChars="0"/>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模拟泄漏事故现象，配合考核系统完成泄漏事故操作。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92BC174">
            <w:pPr>
              <w:keepNext w:val="0"/>
              <w:keepLines w:val="0"/>
              <w:pageBreakBefore w:val="0"/>
              <w:widowControl/>
              <w:kinsoku/>
              <w:wordWrap/>
              <w:overflowPunct/>
              <w:topLinePunct w:val="0"/>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5CBAC8B">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套</w:t>
            </w:r>
          </w:p>
        </w:tc>
      </w:tr>
      <w:tr w14:paraId="142C5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9E32F04">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DDD4132">
            <w:pPr>
              <w:keepNext w:val="0"/>
              <w:keepLines w:val="0"/>
              <w:pageBreakBefore w:val="0"/>
              <w:widowControl/>
              <w:kinsoku/>
              <w:wordWrap/>
              <w:overflowPunct/>
              <w:topLinePunct w:val="0"/>
              <w:bidi w:val="0"/>
              <w:adjustRightInd/>
              <w:snapToGrid/>
              <w:spacing w:line="360" w:lineRule="auto"/>
              <w:ind w:firstLine="0" w:firstLineChars="0"/>
              <w:jc w:val="both"/>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着火模拟系统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400C623">
            <w:pPr>
              <w:keepNext w:val="0"/>
              <w:keepLines w:val="0"/>
              <w:pageBreakBefore w:val="0"/>
              <w:widowControl/>
              <w:kinsoku/>
              <w:wordWrap/>
              <w:overflowPunct/>
              <w:topLinePunct w:val="0"/>
              <w:bidi w:val="0"/>
              <w:adjustRightInd/>
              <w:snapToGrid/>
              <w:spacing w:line="360" w:lineRule="auto"/>
              <w:ind w:firstLine="0" w:firstLineChars="0"/>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模拟着火事故现象，配合考核系统完成着火事故操作。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B9477E8">
            <w:pPr>
              <w:keepNext w:val="0"/>
              <w:keepLines w:val="0"/>
              <w:pageBreakBefore w:val="0"/>
              <w:widowControl/>
              <w:kinsoku/>
              <w:wordWrap/>
              <w:overflowPunct/>
              <w:topLinePunct w:val="0"/>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5CAFF1A">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套</w:t>
            </w:r>
          </w:p>
        </w:tc>
      </w:tr>
      <w:tr w14:paraId="478D8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53BF7AF">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38C7FC8">
            <w:pPr>
              <w:keepNext w:val="0"/>
              <w:keepLines w:val="0"/>
              <w:pageBreakBefore w:val="0"/>
              <w:widowControl/>
              <w:kinsoku/>
              <w:wordWrap/>
              <w:overflowPunct/>
              <w:topLinePunct w:val="0"/>
              <w:bidi w:val="0"/>
              <w:adjustRightInd/>
              <w:snapToGrid/>
              <w:spacing w:line="360"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安全防护模拟系统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470CC98">
            <w:pPr>
              <w:keepNext w:val="0"/>
              <w:keepLines w:val="0"/>
              <w:pageBreakBefore w:val="0"/>
              <w:widowControl/>
              <w:kinsoku/>
              <w:wordWrap/>
              <w:overflowPunct/>
              <w:topLinePunct w:val="0"/>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模拟劳保用品及工具的取用，配合考核系统完成相应事故操作。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D91B206">
            <w:pPr>
              <w:keepNext w:val="0"/>
              <w:keepLines w:val="0"/>
              <w:pageBreakBefore w:val="0"/>
              <w:widowControl/>
              <w:kinsoku/>
              <w:wordWrap/>
              <w:overflowPunct/>
              <w:topLinePunct w:val="0"/>
              <w:bidi w:val="0"/>
              <w:adjustRightInd/>
              <w:snapToGrid/>
              <w:spacing w:line="36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3BCFA9E">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套</w:t>
            </w:r>
          </w:p>
        </w:tc>
      </w:tr>
      <w:tr w14:paraId="49959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C2B61FC">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0F069E9">
            <w:pPr>
              <w:keepNext w:val="0"/>
              <w:keepLines w:val="0"/>
              <w:pageBreakBefore w:val="0"/>
              <w:widowControl/>
              <w:kinsoku/>
              <w:wordWrap/>
              <w:overflowPunct/>
              <w:topLinePunct w:val="0"/>
              <w:bidi w:val="0"/>
              <w:adjustRightInd/>
              <w:snapToGrid/>
              <w:spacing w:line="360"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灭火模拟系统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6DCCACC">
            <w:pPr>
              <w:keepNext w:val="0"/>
              <w:keepLines w:val="0"/>
              <w:pageBreakBefore w:val="0"/>
              <w:widowControl/>
              <w:kinsoku/>
              <w:wordWrap/>
              <w:overflowPunct/>
              <w:topLinePunct w:val="0"/>
              <w:bidi w:val="0"/>
              <w:adjustRightInd/>
              <w:snapToGrid/>
              <w:spacing w:line="360" w:lineRule="auto"/>
              <w:ind w:firstLine="0" w:firstLineChars="0"/>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rPr>
              <w:t>模拟灭火器的选择和使用，配合考核系统完成相应事故操作。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CDF4599">
            <w:pPr>
              <w:keepNext w:val="0"/>
              <w:keepLines w:val="0"/>
              <w:pageBreakBefore w:val="0"/>
              <w:widowControl/>
              <w:kinsoku/>
              <w:wordWrap/>
              <w:overflowPunct/>
              <w:topLinePunct w:val="0"/>
              <w:bidi w:val="0"/>
              <w:adjustRightInd/>
              <w:snapToGrid/>
              <w:spacing w:line="36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6F1E18C">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套</w:t>
            </w:r>
          </w:p>
        </w:tc>
      </w:tr>
      <w:tr w14:paraId="305CE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7A404CF">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6C69032">
            <w:pPr>
              <w:keepNext w:val="0"/>
              <w:keepLines w:val="0"/>
              <w:pageBreakBefore w:val="0"/>
              <w:widowControl/>
              <w:kinsoku/>
              <w:wordWrap/>
              <w:overflowPunct/>
              <w:topLinePunct w:val="0"/>
              <w:bidi w:val="0"/>
              <w:adjustRightInd/>
              <w:snapToGrid/>
              <w:spacing w:line="360"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警戒隔离模拟系统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D43E47C">
            <w:pPr>
              <w:keepNext w:val="0"/>
              <w:keepLines w:val="0"/>
              <w:pageBreakBefore w:val="0"/>
              <w:widowControl/>
              <w:kinsoku/>
              <w:wordWrap/>
              <w:overflowPunct/>
              <w:topLinePunct w:val="0"/>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模拟设置警戒隔离区域，配合考核系统完成相应事故操作。</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F308525">
            <w:pPr>
              <w:keepNext w:val="0"/>
              <w:keepLines w:val="0"/>
              <w:pageBreakBefore w:val="0"/>
              <w:widowControl/>
              <w:kinsoku/>
              <w:wordWrap/>
              <w:overflowPunct/>
              <w:topLinePunct w:val="0"/>
              <w:bidi w:val="0"/>
              <w:adjustRightInd/>
              <w:snapToGrid/>
              <w:spacing w:line="36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0899F6B">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套</w:t>
            </w:r>
          </w:p>
        </w:tc>
      </w:tr>
      <w:tr w14:paraId="0DEA4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FA067AE">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E525B22">
            <w:pPr>
              <w:keepNext w:val="0"/>
              <w:keepLines w:val="0"/>
              <w:pageBreakBefore w:val="0"/>
              <w:widowControl/>
              <w:shd w:val="clear" w:color="auto" w:fill="auto"/>
              <w:kinsoku/>
              <w:wordWrap/>
              <w:overflowPunct/>
              <w:topLinePunct w:val="0"/>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rPr>
              <w:t>智能仪表</w:t>
            </w:r>
            <w:r>
              <w:rPr>
                <w:rFonts w:hint="eastAsia" w:ascii="宋体" w:hAnsi="宋体" w:eastAsia="宋体" w:cs="宋体"/>
                <w:b w:val="0"/>
                <w:bCs w:val="0"/>
                <w:color w:val="auto"/>
                <w:kern w:val="0"/>
                <w:sz w:val="21"/>
                <w:szCs w:val="21"/>
                <w:lang w:val="en-US" w:eastAsia="zh-CN"/>
              </w:rPr>
              <w:t>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51C9007">
            <w:pPr>
              <w:keepNext w:val="0"/>
              <w:keepLines w:val="0"/>
              <w:pageBreakBefore w:val="0"/>
              <w:widowControl/>
              <w:shd w:val="clear" w:color="auto" w:fill="auto"/>
              <w:kinsoku/>
              <w:wordWrap/>
              <w:overflowPunct/>
              <w:topLinePunct w:val="0"/>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rPr>
              <w:t>电器控制柜：内安装漏电保护空气开关、电流型漏电保护器充分考虑人身安全保护；同时每一组强电输出都有旋钮开关控制，保证设备安全，操作控制便捷；装有分相指示灯，开关电源。</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3A00008">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F8BBE32">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台</w:t>
            </w:r>
          </w:p>
        </w:tc>
      </w:tr>
      <w:tr w14:paraId="3B77A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E161ADC">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E8087FC">
            <w:pPr>
              <w:keepNext w:val="0"/>
              <w:keepLines w:val="0"/>
              <w:pageBreakBefore w:val="0"/>
              <w:widowControl/>
              <w:shd w:val="clear" w:color="auto" w:fill="auto"/>
              <w:kinsoku/>
              <w:wordWrap/>
              <w:overflowPunct/>
              <w:topLinePunct w:val="0"/>
              <w:bidi w:val="0"/>
              <w:adjustRightInd/>
              <w:snapToGrid/>
              <w:spacing w:line="360" w:lineRule="auto"/>
              <w:ind w:left="0" w:leftChars="0" w:firstLine="0" w:firstLine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智能考试终端</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C8EF56B">
            <w:pPr>
              <w:keepNext w:val="0"/>
              <w:keepLines w:val="0"/>
              <w:pageBreakBefore w:val="0"/>
              <w:widowControl/>
              <w:shd w:val="clear" w:color="auto" w:fill="auto"/>
              <w:kinsoku/>
              <w:wordWrap/>
              <w:overflowPunct/>
              <w:topLinePunct w:val="0"/>
              <w:bidi w:val="0"/>
              <w:adjustRightInd/>
              <w:snapToGrid/>
              <w:spacing w:line="360" w:lineRule="auto"/>
              <w:ind w:left="0" w:leftChars="0" w:firstLine="0" w:firstLine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CPU：</w:t>
            </w:r>
            <w:r>
              <w:rPr>
                <w:rFonts w:hint="eastAsia" w:ascii="宋体" w:hAnsi="宋体" w:eastAsia="宋体" w:cs="宋体"/>
                <w:color w:val="auto"/>
                <w:sz w:val="21"/>
                <w:szCs w:val="21"/>
                <w:highlight w:val="none"/>
                <w:lang w:val="en-US" w:eastAsia="zh-CN"/>
              </w:rPr>
              <w:t>核心≥6，线程≥12，智能缓存≥18MB</w:t>
            </w:r>
            <w:r>
              <w:rPr>
                <w:rFonts w:hint="eastAsia" w:ascii="宋体" w:hAnsi="宋体" w:eastAsia="宋体" w:cs="宋体"/>
                <w:color w:val="auto"/>
                <w:sz w:val="21"/>
                <w:szCs w:val="21"/>
                <w:highlight w:val="none"/>
              </w:rPr>
              <w:t xml:space="preserve">；内存：≥4GB；独显：≥2G；硬盘：≥128G固态硬盘。 </w:t>
            </w:r>
          </w:p>
          <w:p w14:paraId="4BF4D289">
            <w:pPr>
              <w:keepNext w:val="0"/>
              <w:keepLines w:val="0"/>
              <w:pageBreakBefore w:val="0"/>
              <w:widowControl/>
              <w:shd w:val="clear" w:color="auto" w:fill="auto"/>
              <w:kinsoku/>
              <w:wordWrap/>
              <w:overflowPunct/>
              <w:topLinePunct w:val="0"/>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21.5 英寸WLED液晶显示器/串口，配无线网卡、键鼠</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B433BE1">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A793B8C">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套</w:t>
            </w:r>
          </w:p>
        </w:tc>
      </w:tr>
      <w:tr w14:paraId="5C534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D428212">
            <w:pPr>
              <w:keepNext w:val="0"/>
              <w:keepLines w:val="0"/>
              <w:pageBreakBefore w:val="0"/>
              <w:widowControl/>
              <w:shd w:val="clear" w:color="auto" w:fill="auto"/>
              <w:kinsoku/>
              <w:wordWrap/>
              <w:overflowPunct/>
              <w:topLinePunct w:val="0"/>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5871CF3">
            <w:pPr>
              <w:keepNext w:val="0"/>
              <w:keepLines w:val="0"/>
              <w:pageBreakBefore w:val="0"/>
              <w:widowControl/>
              <w:shd w:val="clear" w:color="auto" w:fill="auto"/>
              <w:kinsoku/>
              <w:wordWrap/>
              <w:overflowPunct/>
              <w:topLinePunct w:val="0"/>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智能考核系统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686B177">
            <w:pPr>
              <w:keepNext w:val="0"/>
              <w:keepLines w:val="0"/>
              <w:pageBreakBefore w:val="0"/>
              <w:widowControl/>
              <w:shd w:val="clear" w:color="auto" w:fill="auto"/>
              <w:kinsoku/>
              <w:wordWrap/>
              <w:overflowPunct/>
              <w:topLinePunct w:val="0"/>
              <w:bidi w:val="0"/>
              <w:adjustRightInd/>
              <w:snapToGrid/>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满足危险化学品仓储作业考核要求，可实现操作的自动评分功能；学员在操作过程中，计算机会进行记录，当学员操作完毕后，学员可以查看考核详情，教师可以根据记录，对学员的操作进行分析，让学员下次注意避免，从而达到通过训练实现自我提升的作用。</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F2BA917">
            <w:pPr>
              <w:keepNext w:val="0"/>
              <w:keepLines w:val="0"/>
              <w:pageBreakBefore w:val="0"/>
              <w:widowControl/>
              <w:kinsoku/>
              <w:wordWrap/>
              <w:overflowPunct/>
              <w:topLinePunct w:val="0"/>
              <w:bidi w:val="0"/>
              <w:adjustRightInd/>
              <w:snapToGrid/>
              <w:spacing w:line="36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4722363">
            <w:pPr>
              <w:keepNext w:val="0"/>
              <w:keepLines w:val="0"/>
              <w:pageBreakBefore w:val="0"/>
              <w:widowControl/>
              <w:suppressLineNumbers w:val="0"/>
              <w:shd w:val="clear" w:color="auto" w:fill="auto"/>
              <w:kinsoku/>
              <w:wordWrap/>
              <w:overflowPunct/>
              <w:topLinePunct w:val="0"/>
              <w:bidi w:val="0"/>
              <w:adjustRightInd/>
              <w:snapToGrid/>
              <w:spacing w:line="36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套</w:t>
            </w:r>
          </w:p>
        </w:tc>
      </w:tr>
    </w:tbl>
    <w:p w14:paraId="2A14E853">
      <w:pPr>
        <w:widowControl w:val="0"/>
        <w:numPr>
          <w:ilvl w:val="0"/>
          <w:numId w:val="0"/>
        </w:numPr>
        <w:spacing w:line="360" w:lineRule="auto"/>
        <w:jc w:val="both"/>
        <w:rPr>
          <w:rFonts w:hint="eastAsia" w:ascii="宋体" w:hAnsi="宋体" w:eastAsia="宋体" w:cs="宋体"/>
          <w:b w:val="0"/>
          <w:bCs w:val="0"/>
          <w:color w:val="auto"/>
          <w:sz w:val="28"/>
          <w:szCs w:val="36"/>
          <w:lang w:val="en-US" w:eastAsia="zh-CN"/>
        </w:rPr>
      </w:pPr>
    </w:p>
    <w:p w14:paraId="050359A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8"/>
          <w:szCs w:val="36"/>
          <w:lang w:val="en-US" w:eastAsia="zh-CN"/>
        </w:rPr>
      </w:pPr>
      <w:bookmarkStart w:id="227" w:name="_Toc29487"/>
      <w:r>
        <w:rPr>
          <w:rFonts w:hint="eastAsia" w:ascii="宋体" w:hAnsi="宋体" w:eastAsia="宋体" w:cs="宋体"/>
          <w:b/>
          <w:bCs/>
          <w:color w:val="auto"/>
          <w:kern w:val="2"/>
          <w:sz w:val="28"/>
          <w:szCs w:val="36"/>
          <w:lang w:val="en-US" w:eastAsia="zh-CN" w:bidi="ar-SA"/>
        </w:rPr>
        <w:t>四、</w:t>
      </w:r>
      <w:r>
        <w:rPr>
          <w:rFonts w:hint="eastAsia" w:ascii="宋体" w:hAnsi="宋体" w:eastAsia="宋体" w:cs="宋体"/>
          <w:b/>
          <w:bCs/>
          <w:color w:val="auto"/>
          <w:sz w:val="28"/>
          <w:szCs w:val="36"/>
          <w:lang w:val="en-US" w:eastAsia="zh-CN"/>
        </w:rPr>
        <w:t>特殊作业培训设施</w:t>
      </w:r>
      <w:bookmarkEnd w:id="227"/>
    </w:p>
    <w:p w14:paraId="20734E7E">
      <w:pPr>
        <w:pStyle w:val="4"/>
        <w:keepNext/>
        <w:keepLines/>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b/>
          <w:bCs w:val="0"/>
          <w:color w:val="auto"/>
          <w:sz w:val="28"/>
          <w:szCs w:val="28"/>
          <w:lang w:val="en-US" w:eastAsia="zh-CN"/>
        </w:rPr>
      </w:pPr>
      <w:bookmarkStart w:id="228" w:name="_Toc29728"/>
      <w:bookmarkStart w:id="229" w:name="_Toc18773"/>
      <w:bookmarkStart w:id="230" w:name="_Toc26794"/>
      <w:r>
        <w:rPr>
          <w:rFonts w:hint="eastAsia" w:ascii="宋体" w:hAnsi="宋体" w:eastAsia="宋体" w:cs="宋体"/>
          <w:b/>
          <w:bCs w:val="0"/>
          <w:color w:val="auto"/>
          <w:kern w:val="2"/>
          <w:sz w:val="28"/>
          <w:szCs w:val="22"/>
          <w:lang w:val="en-US" w:eastAsia="zh-CN" w:bidi="ar-SA"/>
        </w:rPr>
        <w:t>（一）</w:t>
      </w:r>
      <w:r>
        <w:rPr>
          <w:rFonts w:hint="eastAsia" w:ascii="宋体" w:hAnsi="宋体" w:eastAsia="宋体" w:cs="宋体"/>
          <w:b/>
          <w:bCs w:val="0"/>
          <w:color w:val="auto"/>
          <w:sz w:val="28"/>
          <w:szCs w:val="28"/>
          <w:lang w:val="en-US" w:eastAsia="zh-CN"/>
        </w:rPr>
        <w:t>化工特殊作业安全技能综合实训装置</w:t>
      </w:r>
      <w:bookmarkEnd w:id="228"/>
      <w:bookmarkEnd w:id="229"/>
      <w:bookmarkEnd w:id="230"/>
    </w:p>
    <w:p w14:paraId="795B87D3">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1.1.装置</w:t>
      </w:r>
      <w:r>
        <w:rPr>
          <w:rFonts w:hint="eastAsia" w:ascii="宋体" w:hAnsi="宋体" w:eastAsia="宋体" w:cs="宋体"/>
          <w:color w:val="auto"/>
          <w:sz w:val="24"/>
          <w:szCs w:val="24"/>
          <w:lang w:val="en-US" w:eastAsia="zh-CN"/>
        </w:rPr>
        <w:t>概述</w:t>
      </w:r>
    </w:p>
    <w:p w14:paraId="50C2E978">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该装置系统应满足作业风险辨识、安全措施制定、作业审批、 现场监护、安全作业、应急处置培训需求，主要设施包括：动火作业、受限空间作业、盲板抽堵作业、高处作业、 吊装作业、临时用电作业、动土作业和断路作业培训设备设施。</w:t>
      </w:r>
    </w:p>
    <w:p w14:paraId="2E557AAF">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本系统以《化工安全技能实训基地建设指南》、《危险化学品企业特殊作业安全规范（GB 30871-2022）》为依据，以特殊作业典型事故案例为剧本，借鉴国家《特种作业人员安全技术培训大纲和考核标准》的相关培训思路，融合理论学习、展示教学、实操体验环节内容，搭建化工园区典型特殊作业对象场景（化工塔、罐、阀井、泵及管路、高处平台），建设各类作业的典型隐患\故障\事故模拟设备，配套实物工器具（正常+异常）、仿真工器具、仿真道具、个人防护用品，开展特殊作业风险辨识、安全措施制定、作业审批、现场监护、安全操作、应急处置实训。</w:t>
      </w:r>
    </w:p>
    <w:p w14:paraId="669DC917">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1.2.功能</w:t>
      </w:r>
      <w:r>
        <w:rPr>
          <w:rFonts w:hint="eastAsia" w:ascii="宋体" w:hAnsi="宋体" w:eastAsia="宋体" w:cs="宋体"/>
          <w:color w:val="auto"/>
          <w:sz w:val="24"/>
          <w:szCs w:val="24"/>
          <w:lang w:val="en-US" w:eastAsia="zh-CN"/>
        </w:rPr>
        <w:t>要求</w:t>
      </w:r>
    </w:p>
    <w:p w14:paraId="15F0470F">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系统在充分考虑规范的前提下设计特殊作业实训操作及智能化实训装置，采用实物操作和理论两种方式相结合的实训方式，所有实操通过操作特殊作业实训操作及智能化实训装置完成，符合化学品生产单位特殊作业实际实训要求。</w:t>
      </w:r>
    </w:p>
    <w:p w14:paraId="4C0F2738">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化工企业特殊作业安全实训区以典型化工工艺单元为主体，配套公用管廊，构建典型化工生产装置作业现场情景，使学员实际参与相应的现场作业活动，从而可对学员进行系统学习，通过考核可检验学员的学训效果。系统应能够实现如下功能：</w:t>
      </w:r>
    </w:p>
    <w:p w14:paraId="15206D07">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（1）安全标识模块</w:t>
      </w:r>
    </w:p>
    <w:p w14:paraId="264C5A20">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展示实训过程中各类安全标志和安全告知牌，了解安全标志代表的含义和内容。 </w:t>
      </w:r>
    </w:p>
    <w:p w14:paraId="6C9CC539">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（2）劳动防护用品模块</w:t>
      </w:r>
    </w:p>
    <w:p w14:paraId="590E8267">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培训各类作业个人防护用品佩戴使用方法，日常使用注意事项及实操。 </w:t>
      </w:r>
    </w:p>
    <w:p w14:paraId="548F8304">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（3）紧急救护模块</w:t>
      </w:r>
    </w:p>
    <w:p w14:paraId="231F9B9A">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提高自我防护意识，掌握救护措施，用心肺复苏模式假人掌握心肺复苏要点。 </w:t>
      </w:r>
    </w:p>
    <w:p w14:paraId="6F2F0949">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（4）动火作业模块</w:t>
      </w:r>
    </w:p>
    <w:p w14:paraId="4316969B">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在禁火区进行焊接与切割作业及在易燃易爆场所使用喷灯、电钻、砂轮进行可能产生火焰、火花和炽热表面的临时性作业。本项作业在装置中以展示体现，掌握动火作业安全防护措施的基本要求。 </w:t>
      </w:r>
    </w:p>
    <w:p w14:paraId="54FAEFDE">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（5）工艺隔离措施模块</w:t>
      </w:r>
    </w:p>
    <w:p w14:paraId="5CC0D5A2">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了解检维修作业与生产系统进行可靠的工艺隔离措施即盲板抽堵，掌握能量隔离及挂牌上锁要点，真正做到“有效隔离”。本项作业在装置中设备、管道上安装和拆卸盲板的作业。</w:t>
      </w:r>
    </w:p>
    <w:p w14:paraId="4CA2E4D3">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（6）受限空间作业模块</w:t>
      </w:r>
    </w:p>
    <w:p w14:paraId="6F05CC77">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介绍受限空间作业相关安全知识，模拟体验在受限空间中作业场景，掌握受限空间危险性及应急救援相关要点。 </w:t>
      </w:r>
    </w:p>
    <w:p w14:paraId="1033351B">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（7）高处作业模块</w:t>
      </w:r>
    </w:p>
    <w:p w14:paraId="40E46763">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展示高处作业场景，熟知高处作业安全注意事项，并掌握脚手架合格搭设要求。 </w:t>
      </w:r>
    </w:p>
    <w:p w14:paraId="689951E9">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（9）吊装作业模块</w:t>
      </w:r>
    </w:p>
    <w:p w14:paraId="48998AE9">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利用各种吊装机具将设备、工件、器具、材料吊起，使其发生位置变化的作业过程，此部分采用在装置中以模拟行吊作业体现，配合软件训练。 </w:t>
      </w:r>
    </w:p>
    <w:p w14:paraId="6BFF4129">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（10）动土作业模块</w:t>
      </w:r>
    </w:p>
    <w:p w14:paraId="4EDF89E6">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挖土、打桩、钻探、挖探、地锚入土深度在0.5m以上；使用推土机、压路机施工机械进行填土或平整场地可能对地下隐蔽设施产生影响的作业，此部分采用沙盘展示，配合软件训练。 </w:t>
      </w:r>
    </w:p>
    <w:p w14:paraId="2B9558F3">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（11）断路作业模块</w:t>
      </w:r>
    </w:p>
    <w:p w14:paraId="366CFD40">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val="en-US" w:eastAsia="zh-CN"/>
        </w:rPr>
        <w:t>在化学品生产单位内交通主、支路与车间引道上进行施工、吊装、吊运各种影响正常交通的作业，此部分采用沙盘展示，配合软件训练。</w:t>
      </w:r>
      <w:r>
        <w:rPr>
          <w:rFonts w:hint="eastAsia" w:ascii="宋体" w:hAnsi="宋体" w:eastAsia="宋体" w:cs="宋体"/>
          <w:b w:val="0"/>
          <w:bCs w:val="0"/>
          <w:color w:val="auto"/>
          <w:sz w:val="24"/>
          <w:szCs w:val="24"/>
          <w:lang w:val="en-US" w:eastAsia="zh-CN"/>
        </w:rPr>
        <w:t xml:space="preserve"> </w:t>
      </w:r>
    </w:p>
    <w:p w14:paraId="73FA121C">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（12）电气知识模块</w:t>
      </w:r>
    </w:p>
    <w:p w14:paraId="7A2FDB3A">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培训电气安全技术知识、常用电气安全用具使用及临时用电安全要求。</w:t>
      </w:r>
    </w:p>
    <w:p w14:paraId="277CC88B">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（13）消防救援模块</w:t>
      </w:r>
    </w:p>
    <w:p w14:paraId="694E6338">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展示各类现场消防设施器材，现场示范演示各类消防器材、设备的正确操作和使用方法。</w:t>
      </w:r>
    </w:p>
    <w:p w14:paraId="281738B1">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（14）警示教育模块</w:t>
      </w:r>
    </w:p>
    <w:p w14:paraId="7360DA75">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用图片和视频案例，展示的事故案例，通过事故案例，警醒培训人员，认真吸取反面典型的惨痛教训，拒绝事故。</w:t>
      </w:r>
    </w:p>
    <w:p w14:paraId="23220934">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1.3.</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lang w:val="en-US" w:eastAsia="zh-CN"/>
        </w:rPr>
        <w:t>主要参数</w:t>
      </w:r>
    </w:p>
    <w:tbl>
      <w:tblPr>
        <w:tblStyle w:val="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2"/>
        <w:gridCol w:w="1433"/>
        <w:gridCol w:w="5946"/>
        <w:gridCol w:w="724"/>
        <w:gridCol w:w="793"/>
      </w:tblGrid>
      <w:tr w14:paraId="48F84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7894B73">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序号</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C25AB5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名称</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7CB2BD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规格型号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2CD2495">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数量</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0052F3D">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i w:val="0"/>
                <w:iCs w:val="0"/>
                <w:color w:val="auto"/>
                <w:kern w:val="0"/>
                <w:sz w:val="21"/>
                <w:szCs w:val="21"/>
                <w:highlight w:val="none"/>
                <w:u w:val="none"/>
                <w:lang w:val="en-US" w:eastAsia="zh-CN" w:bidi="ar"/>
              </w:rPr>
              <w:t>单位</w:t>
            </w:r>
          </w:p>
        </w:tc>
      </w:tr>
      <w:tr w14:paraId="05099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056E296">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bCs/>
                <w:i w:val="0"/>
                <w:iCs w:val="0"/>
                <w:color w:val="auto"/>
                <w:kern w:val="0"/>
                <w:sz w:val="21"/>
                <w:szCs w:val="21"/>
                <w:highlight w:val="none"/>
                <w:u w:val="none"/>
                <w:lang w:val="en-US" w:eastAsia="zh-CN" w:bidi="ar"/>
              </w:rPr>
              <w:t>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81F71BA">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lang w:val="en-US" w:eastAsia="zh-CN"/>
              </w:rPr>
              <w:t>储罐</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4CDC3E0">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sz w:val="21"/>
                <w:szCs w:val="21"/>
                <w:highlight w:val="none"/>
              </w:rPr>
              <w:t>规格：</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Φ</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00×</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rPr>
              <w:t>00</w:t>
            </w:r>
            <w:r>
              <w:rPr>
                <w:rFonts w:hint="eastAsia" w:ascii="宋体" w:hAnsi="宋体" w:eastAsia="宋体" w:cs="宋体"/>
                <w:color w:val="auto"/>
                <w:sz w:val="21"/>
                <w:szCs w:val="21"/>
                <w:highlight w:val="none"/>
                <w:lang w:val="en-US" w:eastAsia="zh-CN"/>
              </w:rPr>
              <w:t>mm</w:t>
            </w:r>
            <w:r>
              <w:rPr>
                <w:rFonts w:hint="eastAsia" w:ascii="宋体" w:hAnsi="宋体" w:eastAsia="宋体" w:cs="宋体"/>
                <w:color w:val="auto"/>
                <w:sz w:val="21"/>
                <w:szCs w:val="21"/>
                <w:highlight w:val="none"/>
              </w:rPr>
              <w:t>，立式罐，材质：Q235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表面喷涂工艺。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AF48DD4">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70F5E0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rPr>
              <w:t>套</w:t>
            </w:r>
          </w:p>
        </w:tc>
      </w:tr>
      <w:tr w14:paraId="37D18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D3F4E51">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i w:val="0"/>
                <w:iCs w:val="0"/>
                <w:color w:val="auto"/>
                <w:kern w:val="0"/>
                <w:sz w:val="21"/>
                <w:szCs w:val="21"/>
                <w:highlight w:val="none"/>
                <w:u w:val="none"/>
                <w:lang w:val="en-US" w:eastAsia="zh-CN" w:bidi="ar"/>
              </w:rPr>
              <w:t>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72B16AE8">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换热器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FD034A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规格：</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Φ</w:t>
            </w:r>
            <w:r>
              <w:rPr>
                <w:rFonts w:hint="eastAsia" w:ascii="宋体" w:hAnsi="宋体" w:eastAsia="宋体" w:cs="宋体"/>
                <w:color w:val="auto"/>
                <w:sz w:val="21"/>
                <w:szCs w:val="21"/>
                <w:highlight w:val="none"/>
                <w:lang w:val="en-US" w:eastAsia="zh-CN"/>
              </w:rPr>
              <w:t>325</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00×2</w:t>
            </w:r>
            <w:r>
              <w:rPr>
                <w:rFonts w:hint="eastAsia" w:ascii="宋体" w:hAnsi="宋体" w:eastAsia="宋体" w:cs="宋体"/>
                <w:color w:val="auto"/>
                <w:sz w:val="21"/>
                <w:szCs w:val="21"/>
                <w:highlight w:val="none"/>
                <w:lang w:val="en-US" w:eastAsia="zh-CN"/>
              </w:rPr>
              <w:t>mm</w:t>
            </w:r>
            <w:r>
              <w:rPr>
                <w:rFonts w:hint="eastAsia" w:ascii="宋体" w:hAnsi="宋体" w:eastAsia="宋体" w:cs="宋体"/>
                <w:color w:val="auto"/>
                <w:sz w:val="21"/>
                <w:szCs w:val="21"/>
                <w:highlight w:val="none"/>
              </w:rPr>
              <w:t>，材质：Q235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表面喷涂工艺。</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4EA3F78">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083A0E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套</w:t>
            </w:r>
          </w:p>
        </w:tc>
      </w:tr>
      <w:tr w14:paraId="7D971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D933EE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0ADDC2F">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rPr>
              <w:t>机泵</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B4C5983">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lang w:val="en-US" w:eastAsia="zh-CN"/>
              </w:rPr>
              <w:t>工业级化工离心泵（连接轴泵）。</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D8E497A">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Cs/>
                <w:color w:val="auto"/>
                <w:sz w:val="21"/>
                <w:szCs w:val="21"/>
                <w:highlight w:val="none"/>
                <w:lang w:val="en-US" w:eastAsia="zh-CN"/>
              </w:rPr>
              <w:t>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10E9E3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lang w:val="en-US" w:eastAsia="zh-CN"/>
              </w:rPr>
              <w:t>套</w:t>
            </w:r>
          </w:p>
        </w:tc>
      </w:tr>
      <w:tr w14:paraId="4098D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0C1B6C7">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143250BC">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rPr>
              <w:t>工艺管道及管件、阀门</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77E7FA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auto"/>
                <w:sz w:val="21"/>
                <w:szCs w:val="21"/>
              </w:rPr>
              <w:t>设备之间管道连接以及管廊管道、管廊支架</w:t>
            </w:r>
            <w:r>
              <w:rPr>
                <w:rFonts w:hint="eastAsia" w:ascii="宋体" w:hAnsi="宋体" w:eastAsia="宋体" w:cs="宋体"/>
                <w:color w:val="auto"/>
                <w:sz w:val="21"/>
                <w:szCs w:val="21"/>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19DBC90">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Cs/>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956D72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lang w:val="en-US" w:eastAsia="zh-CN"/>
              </w:rPr>
              <w:t>套</w:t>
            </w:r>
          </w:p>
        </w:tc>
      </w:tr>
      <w:tr w14:paraId="01E4E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2FCF46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82AC226">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val="en-US" w:eastAsia="zh-CN"/>
              </w:rPr>
              <w:t>设备主体</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123B58B9">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sz w:val="21"/>
                <w:szCs w:val="21"/>
                <w:lang w:val="en-US" w:eastAsia="zh-CN"/>
              </w:rPr>
              <w:t>系统占地尺寸</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9000*2400*2500mm，由受限空间储罐、换热器、机泵、工艺隔离法兰盲板、能量隔离锁具和公用管廊组成，公用管廊处设有脚手架高处作业训练，便于进行检修作业。</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63E6C7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7EFDB5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color w:val="auto"/>
                <w:sz w:val="21"/>
                <w:szCs w:val="21"/>
                <w:highlight w:val="none"/>
                <w:lang w:val="en-US" w:eastAsia="zh-CN"/>
              </w:rPr>
              <w:t>套</w:t>
            </w:r>
          </w:p>
        </w:tc>
      </w:tr>
      <w:tr w14:paraId="3150B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0C3E511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B6E7B98">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其他</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1B468B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color w:val="auto"/>
                <w:sz w:val="21"/>
                <w:szCs w:val="21"/>
                <w:lang w:val="en-US" w:eastAsia="zh-CN"/>
              </w:rPr>
              <w:t>安全标识、劳动防护用品、紧急救护、</w:t>
            </w:r>
            <w:r>
              <w:rPr>
                <w:rFonts w:hint="eastAsia" w:ascii="宋体" w:hAnsi="宋体" w:eastAsia="宋体" w:cs="宋体"/>
                <w:color w:val="auto"/>
                <w:sz w:val="21"/>
                <w:szCs w:val="21"/>
              </w:rPr>
              <w:t>受限空间、高处作业、动火作业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工艺隔离作业、临时用电作业、消防救援。警示教育</w:t>
            </w:r>
            <w:r>
              <w:rPr>
                <w:rFonts w:hint="eastAsia" w:ascii="宋体" w:hAnsi="宋体" w:eastAsia="宋体" w:cs="宋体"/>
                <w:color w:val="auto"/>
                <w:sz w:val="21"/>
                <w:szCs w:val="21"/>
              </w:rPr>
              <w:t>共用同一场景</w:t>
            </w:r>
            <w:r>
              <w:rPr>
                <w:rFonts w:hint="eastAsia" w:ascii="宋体" w:hAnsi="宋体" w:eastAsia="宋体" w:cs="宋体"/>
                <w:color w:val="auto"/>
                <w:sz w:val="21"/>
                <w:szCs w:val="21"/>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C14F5D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8750DB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color w:val="auto"/>
                <w:sz w:val="21"/>
                <w:szCs w:val="21"/>
                <w:highlight w:val="none"/>
                <w:lang w:val="en-US" w:eastAsia="zh-CN"/>
              </w:rPr>
              <w:t>套</w:t>
            </w:r>
          </w:p>
        </w:tc>
      </w:tr>
      <w:tr w14:paraId="613CB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4752A0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BDD670D">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rPr>
              <w:t>防护用具选择及穿戴公共区域</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9FF8E5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rPr>
              <w:t>主要包含工器具及劳动防护用品辨识设备及软件</w:t>
            </w:r>
            <w:r>
              <w:rPr>
                <w:rFonts w:hint="eastAsia" w:ascii="宋体" w:hAnsi="宋体" w:eastAsia="宋体" w:cs="宋体"/>
                <w:color w:val="auto"/>
                <w:sz w:val="21"/>
                <w:szCs w:val="21"/>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945D28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CECF58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套</w:t>
            </w:r>
          </w:p>
        </w:tc>
      </w:tr>
      <w:tr w14:paraId="5F766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B5B4BD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439591DB">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lang w:val="en-US" w:eastAsia="zh-CN"/>
              </w:rPr>
              <w:t>安全标识模块</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70FCDE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lang w:val="en-US" w:eastAsia="zh-CN"/>
              </w:rPr>
              <w:t>配套各种安全标识标牌及警示标签。</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375C1C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0DDAF6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套</w:t>
            </w:r>
          </w:p>
        </w:tc>
      </w:tr>
      <w:tr w14:paraId="53096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7185432">
            <w:pPr>
              <w:keepNext w:val="0"/>
              <w:keepLines w:val="0"/>
              <w:pageBreakBefore w:val="0"/>
              <w:widowControl/>
              <w:suppressLineNumbers w:val="0"/>
              <w:shd w:val="clear" w:color="auto" w:fill="auto"/>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2F77ACAC">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lang w:val="en-US" w:eastAsia="zh-CN"/>
              </w:rPr>
              <w:t>劳动防护用品</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B003E4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lang w:val="en-US" w:eastAsia="zh-CN"/>
              </w:rPr>
              <w:t>配套实训常用劳动防护用具。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A4138B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4C1010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套</w:t>
            </w:r>
          </w:p>
        </w:tc>
      </w:tr>
      <w:tr w14:paraId="61F86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63E74B7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10</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3167DCB">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rPr>
              <w:t>受限空间作业</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0C5139A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rPr>
              <w:t>配备一套工器具、一套安全防护器材，一套应急器材，</w:t>
            </w:r>
            <w:r>
              <w:rPr>
                <w:rFonts w:hint="eastAsia" w:ascii="宋体" w:hAnsi="宋体" w:eastAsia="宋体" w:cs="宋体"/>
                <w:color w:val="auto"/>
                <w:sz w:val="21"/>
                <w:szCs w:val="21"/>
                <w:lang w:val="en-US" w:eastAsia="zh-CN"/>
              </w:rPr>
              <w:t>一套烟雾发生器，一套</w:t>
            </w:r>
            <w:r>
              <w:rPr>
                <w:rFonts w:hint="eastAsia" w:ascii="宋体" w:hAnsi="宋体" w:eastAsia="宋体" w:cs="宋体"/>
                <w:color w:val="auto"/>
                <w:kern w:val="0"/>
                <w:sz w:val="21"/>
                <w:szCs w:val="21"/>
                <w:highlight w:val="none"/>
                <w:lang w:val="en-US" w:eastAsia="zh-CN" w:bidi="ar"/>
              </w:rPr>
              <w:t>5米工业伸缩通风管抽风机，一套长管呼吸器</w:t>
            </w:r>
            <w:r>
              <w:rPr>
                <w:rFonts w:hint="eastAsia" w:ascii="宋体" w:hAnsi="宋体" w:eastAsia="宋体" w:cs="宋体"/>
                <w:color w:val="auto"/>
                <w:sz w:val="21"/>
                <w:szCs w:val="21"/>
              </w:rPr>
              <w:t>、一套训练软件。</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C29514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B8CB85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套</w:t>
            </w:r>
          </w:p>
        </w:tc>
      </w:tr>
      <w:tr w14:paraId="6B5B1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2CDF55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4F6FB5B">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动火作业</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970F18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rPr>
              <w:t>配备一台热切割机、一套工器具、一套安全防护器材，一套应急器材、一套训练软件</w:t>
            </w:r>
            <w:r>
              <w:rPr>
                <w:rFonts w:hint="eastAsia" w:ascii="宋体" w:hAnsi="宋体" w:eastAsia="宋体" w:cs="宋体"/>
                <w:color w:val="auto"/>
                <w:sz w:val="21"/>
                <w:szCs w:val="21"/>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B324B8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3FE8FE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套</w:t>
            </w:r>
          </w:p>
        </w:tc>
      </w:tr>
      <w:tr w14:paraId="1B37D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1F7FFC6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90C330E">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高处作业</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24C75687">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配备一套脚手架、一套工器具、一套安全防护器材，一套应急器材、一套训练软件</w:t>
            </w:r>
            <w:r>
              <w:rPr>
                <w:rFonts w:hint="eastAsia" w:ascii="宋体" w:hAnsi="宋体" w:eastAsia="宋体" w:cs="宋体"/>
                <w:color w:val="auto"/>
                <w:sz w:val="21"/>
                <w:szCs w:val="21"/>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C26071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27E2FD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套</w:t>
            </w:r>
          </w:p>
        </w:tc>
      </w:tr>
      <w:tr w14:paraId="437F5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EE72A39">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13</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D585827">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工艺隔离作业</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D7228B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配备一套法兰盲板、一套工器具、一套安防器材，一套锁具</w:t>
            </w:r>
            <w:r>
              <w:rPr>
                <w:rFonts w:hint="eastAsia" w:ascii="宋体" w:hAnsi="宋体" w:eastAsia="宋体" w:cs="宋体"/>
                <w:color w:val="auto"/>
                <w:sz w:val="21"/>
                <w:szCs w:val="21"/>
              </w:rPr>
              <w:t>、一套训练软件</w:t>
            </w:r>
            <w:r>
              <w:rPr>
                <w:rFonts w:hint="eastAsia" w:ascii="宋体" w:hAnsi="宋体" w:eastAsia="宋体" w:cs="宋体"/>
                <w:color w:val="auto"/>
                <w:sz w:val="21"/>
                <w:szCs w:val="21"/>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D2AFB8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A772F6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套</w:t>
            </w:r>
          </w:p>
        </w:tc>
      </w:tr>
      <w:tr w14:paraId="4A114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72202DF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14</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2D471BD">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临时用电作业</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3512610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配备一套总配电箱、一套分配电箱、一套开关箱、一套工器具、一套安防器材、一套应急器材、</w:t>
            </w:r>
            <w:r>
              <w:rPr>
                <w:rFonts w:hint="eastAsia" w:ascii="宋体" w:hAnsi="宋体" w:eastAsia="宋体" w:cs="宋体"/>
                <w:color w:val="auto"/>
                <w:sz w:val="21"/>
                <w:szCs w:val="21"/>
              </w:rPr>
              <w:t>一套训练软件</w:t>
            </w:r>
            <w:r>
              <w:rPr>
                <w:rFonts w:hint="eastAsia" w:ascii="宋体" w:hAnsi="宋体" w:eastAsia="宋体" w:cs="宋体"/>
                <w:color w:val="auto"/>
                <w:sz w:val="21"/>
                <w:szCs w:val="21"/>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ABC6BB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0BE000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套</w:t>
            </w:r>
          </w:p>
        </w:tc>
      </w:tr>
      <w:tr w14:paraId="725C2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903CD7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15</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363F098">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吊装</w:t>
            </w:r>
            <w:r>
              <w:rPr>
                <w:rFonts w:hint="eastAsia" w:ascii="宋体" w:hAnsi="宋体" w:eastAsia="宋体" w:cs="宋体"/>
                <w:color w:val="auto"/>
                <w:sz w:val="21"/>
                <w:szCs w:val="21"/>
                <w:highlight w:val="none"/>
              </w:rPr>
              <w:t>作业</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4625DE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配备小型行吊、一套工器具、一套安防器材、一套应急器材、</w:t>
            </w:r>
            <w:r>
              <w:rPr>
                <w:rFonts w:hint="eastAsia" w:ascii="宋体" w:hAnsi="宋体" w:eastAsia="宋体" w:cs="宋体"/>
                <w:color w:val="auto"/>
                <w:sz w:val="21"/>
                <w:szCs w:val="21"/>
                <w:highlight w:val="none"/>
              </w:rPr>
              <w:t>一套训练软件</w:t>
            </w:r>
            <w:r>
              <w:rPr>
                <w:rFonts w:hint="eastAsia" w:ascii="宋体" w:hAnsi="宋体" w:eastAsia="宋体" w:cs="宋体"/>
                <w:color w:val="auto"/>
                <w:sz w:val="21"/>
                <w:szCs w:val="21"/>
                <w:highlight w:val="none"/>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038ACD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BA36C2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套</w:t>
            </w:r>
          </w:p>
        </w:tc>
      </w:tr>
      <w:tr w14:paraId="53EB8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406E362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16</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5FC1970">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动土及断路</w:t>
            </w:r>
            <w:r>
              <w:rPr>
                <w:rFonts w:hint="eastAsia" w:ascii="宋体" w:hAnsi="宋体" w:eastAsia="宋体" w:cs="宋体"/>
                <w:color w:val="auto"/>
                <w:sz w:val="21"/>
                <w:szCs w:val="21"/>
                <w:highlight w:val="none"/>
              </w:rPr>
              <w:t>作业</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61A4F609">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配备动土及断路沙盘、一套工器具、一套安防器材、一套应急器材、</w:t>
            </w:r>
            <w:r>
              <w:rPr>
                <w:rFonts w:hint="eastAsia" w:ascii="宋体" w:hAnsi="宋体" w:eastAsia="宋体" w:cs="宋体"/>
                <w:color w:val="auto"/>
                <w:sz w:val="21"/>
                <w:szCs w:val="21"/>
                <w:highlight w:val="none"/>
              </w:rPr>
              <w:t>一套训练软件</w:t>
            </w:r>
            <w:r>
              <w:rPr>
                <w:rFonts w:hint="eastAsia" w:ascii="宋体" w:hAnsi="宋体" w:eastAsia="宋体" w:cs="宋体"/>
                <w:color w:val="auto"/>
                <w:sz w:val="21"/>
                <w:szCs w:val="21"/>
                <w:highlight w:val="none"/>
                <w:lang w:eastAsia="zh-CN"/>
              </w:rPr>
              <w:t>。</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9A70EA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02C9E5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套</w:t>
            </w:r>
          </w:p>
        </w:tc>
      </w:tr>
      <w:tr w14:paraId="0254B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2CE52BF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17</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61D4482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作业动画视频</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7FAD278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3D动画，整个课件对进入受限空间作业、动火作业、高处作业、临时用电作业、工艺隔离作业进行介绍。</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469FEB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FE0F91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套</w:t>
            </w:r>
          </w:p>
        </w:tc>
      </w:tr>
      <w:tr w14:paraId="5A762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5376CCE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18</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583E7CE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作业安全展板</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4F08F6F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val="0"/>
                <w:color w:val="auto"/>
                <w:kern w:val="0"/>
                <w:sz w:val="21"/>
                <w:szCs w:val="21"/>
                <w:highlight w:val="none"/>
                <w:lang w:val="en-US" w:eastAsia="zh-CN"/>
              </w:rPr>
              <w:t>0.8m*1.2m，内容需求：对受限空间、动火、高处、临时用电、工艺隔离的定义和作业中的注意事项及相关的图片。</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90B4DE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C01E9D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套</w:t>
            </w:r>
          </w:p>
        </w:tc>
      </w:tr>
      <w:tr w14:paraId="5578C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80" w:type="pct"/>
            <w:tcBorders>
              <w:top w:val="single" w:color="000000" w:sz="4" w:space="0"/>
              <w:left w:val="single" w:color="000000" w:sz="4" w:space="0"/>
              <w:bottom w:val="single" w:color="000000" w:sz="4" w:space="0"/>
              <w:right w:val="single" w:color="000000" w:sz="4" w:space="0"/>
            </w:tcBorders>
            <w:noWrap/>
            <w:vAlign w:val="center"/>
          </w:tcPr>
          <w:p w14:paraId="3EC5E67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19</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3D9F222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安全告知牌</w:t>
            </w:r>
          </w:p>
        </w:tc>
        <w:tc>
          <w:tcPr>
            <w:tcW w:w="3087" w:type="pct"/>
            <w:tcBorders>
              <w:top w:val="single" w:color="000000" w:sz="4" w:space="0"/>
              <w:left w:val="single" w:color="000000" w:sz="4" w:space="0"/>
              <w:bottom w:val="single" w:color="000000" w:sz="4" w:space="0"/>
              <w:right w:val="single" w:color="000000" w:sz="4" w:space="0"/>
            </w:tcBorders>
            <w:noWrap/>
            <w:vAlign w:val="center"/>
          </w:tcPr>
          <w:p w14:paraId="526AE34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动火作业、受限空间、高处作业安全告知牌。</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1F39A51">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CDA519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套</w:t>
            </w:r>
          </w:p>
        </w:tc>
      </w:tr>
    </w:tbl>
    <w:p w14:paraId="74C08E9F">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工器具配置清单如下：</w:t>
      </w:r>
    </w:p>
    <w:p w14:paraId="43826550">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①受限空间作业</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202"/>
        <w:gridCol w:w="5059"/>
        <w:gridCol w:w="770"/>
        <w:gridCol w:w="742"/>
      </w:tblGrid>
      <w:tr w14:paraId="4A63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04E21AEE">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3DA0A25">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设备名称</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08ADAA97">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规格及参数</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E6F9296">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4150C987">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r>
      <w:tr w14:paraId="114B5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208B03E9">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CBF36C6">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救援三脚架</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1009F283">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200公斤</w:t>
            </w:r>
            <w:r>
              <w:rPr>
                <w:rFonts w:hint="eastAsia" w:ascii="宋体" w:hAnsi="宋体" w:eastAsia="宋体" w:cs="宋体"/>
                <w:color w:val="auto"/>
                <w:sz w:val="21"/>
                <w:szCs w:val="21"/>
                <w:highlight w:val="none"/>
                <w:lang w:eastAsia="zh-CN"/>
              </w:rPr>
              <w:t>受限空间</w:t>
            </w:r>
            <w:r>
              <w:rPr>
                <w:rFonts w:hint="eastAsia" w:ascii="宋体" w:hAnsi="宋体" w:eastAsia="宋体" w:cs="宋体"/>
                <w:color w:val="auto"/>
                <w:sz w:val="21"/>
                <w:szCs w:val="21"/>
                <w:highlight w:val="none"/>
              </w:rPr>
              <w:t>救援三脚架</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01B9C69">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91BF52A">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r>
      <w:tr w14:paraId="6EF5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4A4A0B8E">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4E21445">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模拟救援假人</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1BF929DE">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模拟中毒假人，待人救援</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F99A8C9">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4B081B30">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r>
      <w:tr w14:paraId="4E2B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08173AA3">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2D80A3C">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正压式呼吸器</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1535377B">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压空气呼吸器，材料碳纤维</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A7F31D0">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2351135">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w:t>
            </w:r>
          </w:p>
        </w:tc>
      </w:tr>
      <w:tr w14:paraId="6B053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41E4F4C4">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36D1B706">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过滤式防毒面罩</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0603DA06">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头戴式，防PM2.5口罩，过滤级别：KN95</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A6BABC7">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52EBA03">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w:t>
            </w:r>
          </w:p>
        </w:tc>
      </w:tr>
      <w:tr w14:paraId="4720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3585CD4E">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61F97370">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化学品防护服</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12F5DA26">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黄色（增强型化学防护服）防腐蚀耐酸碱</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25C6692">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801A670">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w:t>
            </w:r>
          </w:p>
        </w:tc>
      </w:tr>
      <w:tr w14:paraId="1F391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120F5C8B">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F72F881">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全身式安全带</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09D046BA">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双大钩五点式安全带，长度：2m</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1708D7E">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3608765E">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w:t>
            </w:r>
          </w:p>
        </w:tc>
      </w:tr>
      <w:tr w14:paraId="1B75D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57C8184B">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5A18B18">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手持行灯</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5B8E6431">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12V手持行灯</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BB727CE">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01E80A0F">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r>
      <w:tr w14:paraId="0C16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1C69174D">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0D69A289">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手持行灯</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1DBB7A34">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36V手持行灯</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5F32C86">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29DC418A">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r>
      <w:tr w14:paraId="3327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16F99910">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008E9DD">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长管呼吸器</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4EBA9B7A">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5米呼吸管、面罩、腰带、滤罐</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DD499F3">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0DE1BBF">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套</w:t>
            </w:r>
          </w:p>
        </w:tc>
      </w:tr>
      <w:tr w14:paraId="108E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18082A1A">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388C7263">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对讲机</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3CD3635F">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对讲机，通讯距离≥500m。</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653A030">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933FE2F">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台</w:t>
            </w:r>
          </w:p>
        </w:tc>
      </w:tr>
      <w:tr w14:paraId="5099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3DACB268">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2B3D7D51">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作业风险告知牌</w:t>
            </w:r>
          </w:p>
        </w:tc>
        <w:tc>
          <w:tcPr>
            <w:tcW w:w="2628" w:type="pct"/>
            <w:tcBorders>
              <w:top w:val="single" w:color="auto" w:sz="4" w:space="0"/>
              <w:left w:val="single" w:color="auto" w:sz="4" w:space="0"/>
              <w:bottom w:val="single" w:color="auto" w:sz="4" w:space="0"/>
              <w:right w:val="single" w:color="auto" w:sz="4" w:space="0"/>
            </w:tcBorders>
            <w:noWrap w:val="0"/>
            <w:vAlign w:val="bottom"/>
          </w:tcPr>
          <w:p w14:paraId="1ED87173">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根据特殊作业风险设置风险告知牌，材质亚克力。</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2649D80">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07C3599">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套</w:t>
            </w:r>
          </w:p>
        </w:tc>
      </w:tr>
      <w:tr w14:paraId="722D3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03B636C6">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A8B40E1">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场景设置牌</w:t>
            </w:r>
          </w:p>
        </w:tc>
        <w:tc>
          <w:tcPr>
            <w:tcW w:w="2628" w:type="pct"/>
            <w:tcBorders>
              <w:top w:val="single" w:color="auto" w:sz="4" w:space="0"/>
              <w:left w:val="single" w:color="auto" w:sz="4" w:space="0"/>
              <w:bottom w:val="single" w:color="auto" w:sz="4" w:space="0"/>
              <w:right w:val="single" w:color="auto" w:sz="4" w:space="0"/>
            </w:tcBorders>
            <w:noWrap w:val="0"/>
            <w:vAlign w:val="bottom"/>
          </w:tcPr>
          <w:p w14:paraId="4685D4DB">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根据特殊作业典型场景，设置场景设置牌，材质亚克力。</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3909D1E">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4240E801">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套</w:t>
            </w:r>
          </w:p>
        </w:tc>
      </w:tr>
      <w:tr w14:paraId="0DE4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7AE0B495">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28DBDDA4">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灭火器</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65C581BD">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四类灭火器</w:t>
            </w:r>
            <w:r>
              <w:rPr>
                <w:rFonts w:hint="eastAsia" w:ascii="宋体" w:hAnsi="宋体" w:eastAsia="宋体" w:cs="宋体"/>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E8804D5">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1663F13">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套</w:t>
            </w:r>
          </w:p>
        </w:tc>
      </w:tr>
      <w:tr w14:paraId="7EC3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6167EEBB">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168DB6B6">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上锁挂签</w:t>
            </w:r>
          </w:p>
        </w:tc>
        <w:tc>
          <w:tcPr>
            <w:tcW w:w="2628" w:type="pct"/>
            <w:tcBorders>
              <w:top w:val="single" w:color="auto" w:sz="4" w:space="0"/>
              <w:left w:val="single" w:color="auto" w:sz="4" w:space="0"/>
              <w:bottom w:val="single" w:color="auto" w:sz="4" w:space="0"/>
              <w:right w:val="single" w:color="auto" w:sz="4" w:space="0"/>
            </w:tcBorders>
            <w:noWrap w:val="0"/>
            <w:vAlign w:val="center"/>
          </w:tcPr>
          <w:p w14:paraId="5BA5A3F4">
            <w:pPr>
              <w:pageBreakBefore w:val="0"/>
              <w:shd w:val="clear" w:color="auto" w:fill="auto"/>
              <w:kinsoku/>
              <w:wordWrap/>
              <w:overflowPunct/>
              <w:topLinePunct w:val="0"/>
              <w:autoSpaceDE/>
              <w:autoSpaceDN/>
              <w:bidi w:val="0"/>
              <w:adjustRightInd/>
              <w:snapToGrid/>
              <w:spacing w:line="360" w:lineRule="auto"/>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定制。</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5E23E33">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539B571">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套</w:t>
            </w:r>
          </w:p>
        </w:tc>
      </w:tr>
      <w:tr w14:paraId="444B7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35FD11E5">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948" w:type="dxa"/>
            <w:tcBorders>
              <w:top w:val="single" w:color="auto" w:sz="4" w:space="0"/>
              <w:left w:val="single" w:color="auto" w:sz="4" w:space="0"/>
              <w:bottom w:val="single" w:color="auto" w:sz="4" w:space="0"/>
              <w:right w:val="single" w:color="auto" w:sz="4" w:space="0"/>
            </w:tcBorders>
            <w:noWrap w:val="0"/>
            <w:vAlign w:val="center"/>
          </w:tcPr>
          <w:p w14:paraId="50328FC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kern w:val="0"/>
                <w:sz w:val="21"/>
                <w:szCs w:val="21"/>
                <w:highlight w:val="none"/>
                <w:lang w:bidi="ar"/>
              </w:rPr>
              <w:t>四合一检测仪</w:t>
            </w:r>
          </w:p>
        </w:tc>
        <w:tc>
          <w:tcPr>
            <w:tcW w:w="4475" w:type="dxa"/>
            <w:tcBorders>
              <w:top w:val="single" w:color="auto" w:sz="4" w:space="0"/>
              <w:left w:val="single" w:color="auto" w:sz="4" w:space="0"/>
              <w:bottom w:val="single" w:color="auto" w:sz="4" w:space="0"/>
              <w:right w:val="single" w:color="auto" w:sz="4" w:space="0"/>
            </w:tcBorders>
            <w:noWrap w:val="0"/>
            <w:vAlign w:val="bottom"/>
          </w:tcPr>
          <w:p w14:paraId="5B5EF8A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bidi="ar"/>
              </w:rPr>
              <w:t>便携式检测器，可测可燃气、氧气、硫化氢、一氧化碳气体。</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64EA5466">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656" w:type="dxa"/>
            <w:tcBorders>
              <w:top w:val="single" w:color="auto" w:sz="4" w:space="0"/>
              <w:left w:val="single" w:color="auto" w:sz="4" w:space="0"/>
              <w:bottom w:val="single" w:color="auto" w:sz="4" w:space="0"/>
              <w:right w:val="single" w:color="auto" w:sz="4" w:space="0"/>
            </w:tcBorders>
            <w:noWrap w:val="0"/>
            <w:vAlign w:val="center"/>
          </w:tcPr>
          <w:p w14:paraId="1CAD5051">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台</w:t>
            </w:r>
          </w:p>
        </w:tc>
      </w:tr>
    </w:tbl>
    <w:p w14:paraId="28645563">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②动火作业</w:t>
      </w:r>
    </w:p>
    <w:tbl>
      <w:tblPr>
        <w:tblStyle w:val="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2361"/>
        <w:gridCol w:w="4637"/>
        <w:gridCol w:w="776"/>
        <w:gridCol w:w="1086"/>
      </w:tblGrid>
      <w:tr w14:paraId="56BA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2835C42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72C3DAD1">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设备名称</w:t>
            </w:r>
          </w:p>
        </w:tc>
        <w:tc>
          <w:tcPr>
            <w:tcW w:w="2408" w:type="pct"/>
            <w:tcBorders>
              <w:top w:val="single" w:color="auto" w:sz="4" w:space="0"/>
              <w:left w:val="single" w:color="auto" w:sz="4" w:space="0"/>
              <w:bottom w:val="single" w:color="auto" w:sz="4" w:space="0"/>
              <w:right w:val="single" w:color="auto" w:sz="4" w:space="0"/>
            </w:tcBorders>
            <w:noWrap w:val="0"/>
            <w:vAlign w:val="center"/>
          </w:tcPr>
          <w:p w14:paraId="0B22A330">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规格及参数</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7579878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79F1043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w:t>
            </w:r>
          </w:p>
        </w:tc>
      </w:tr>
      <w:tr w14:paraId="5221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3CAF6C0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32731C9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氧气瓶</w:t>
            </w:r>
          </w:p>
        </w:tc>
        <w:tc>
          <w:tcPr>
            <w:tcW w:w="2408" w:type="pct"/>
            <w:tcBorders>
              <w:top w:val="single" w:color="auto" w:sz="4" w:space="0"/>
              <w:left w:val="single" w:color="auto" w:sz="4" w:space="0"/>
              <w:bottom w:val="single" w:color="auto" w:sz="4" w:space="0"/>
              <w:right w:val="single" w:color="auto" w:sz="4" w:space="0"/>
            </w:tcBorders>
            <w:noWrap w:val="0"/>
            <w:vAlign w:val="center"/>
          </w:tcPr>
          <w:p w14:paraId="35BB0A9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40L带钢帽，空瓶</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5C05A69A">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639084A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718C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4E0B9EC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1CDE3DE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乙炔瓶</w:t>
            </w:r>
          </w:p>
        </w:tc>
        <w:tc>
          <w:tcPr>
            <w:tcW w:w="2408" w:type="pct"/>
            <w:tcBorders>
              <w:top w:val="single" w:color="auto" w:sz="4" w:space="0"/>
              <w:left w:val="single" w:color="auto" w:sz="4" w:space="0"/>
              <w:bottom w:val="single" w:color="auto" w:sz="4" w:space="0"/>
              <w:right w:val="single" w:color="auto" w:sz="4" w:space="0"/>
            </w:tcBorders>
            <w:noWrap w:val="0"/>
            <w:vAlign w:val="center"/>
          </w:tcPr>
          <w:p w14:paraId="7A6AA51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40L带钢帽，空瓶</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56775ADA">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3F4E4F80">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5A7E2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4074BCB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5AC52E8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氧气瓶推车</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1090676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1.2m款，带安全标识</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5E6CEBEF">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23D1EB3D">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49FA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05A6E96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05F37192">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乙炔瓶推车</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77AA01B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1.2m款，带安全标识</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546501D3">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2771DAD1">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4B40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4D4E64C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2FB5B9F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防震胶圈</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2CB879F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40L钢瓶219mm防震圈，加厚型</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7E89EC63">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132BB838">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251EB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75E7202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79399A19">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氧气减压器</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5120F5BC">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氧气减压器+回火防止器（合金）</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3C6A05F9">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0CF82E9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5CF3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50D0BEA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29F0DCE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乙炔减压器</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74CF8010">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乙炔减压器+回火防止器（合金）</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32855C4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597DDCC9">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3969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290AD9C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41748B6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双色气管</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58471FE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20米</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2E15F29F">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09EE2C76">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59D9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085731E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9</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0011FB58">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乙炔射吸式割炬</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422A241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kern w:val="0"/>
                <w:sz w:val="21"/>
                <w:szCs w:val="21"/>
                <w:highlight w:val="none"/>
                <w:lang w:bidi="ar"/>
              </w:rPr>
              <w:t>紫铜中体</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2E31DDB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56427E5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1F9D5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1282372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10</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28BAEF6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焊机面罩</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5EC0C649">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焊机面罩</w:t>
            </w:r>
            <w:r>
              <w:rPr>
                <w:rFonts w:hint="eastAsia" w:ascii="宋体" w:hAnsi="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64F4FEA8">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50CE5F3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r w14:paraId="08B1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62F11DB9">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11</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5931B41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四合一检测仪</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67181D0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便携式检测器，可测可燃气、氧气、硫化氢、一氧化碳气体。</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07365346">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28640540">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台</w:t>
            </w:r>
          </w:p>
        </w:tc>
      </w:tr>
      <w:tr w14:paraId="1134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2C4C36B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4E23C56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防静电工作服</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56B1A42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防静电工作服</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0301234D">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3</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4A075F3C">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r w14:paraId="7983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54BB3DD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13</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3C984F1D">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安全帽</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626290FE">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安全帽</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5669883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3</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589706BC">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r w14:paraId="503AC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4B422E1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14</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5EC46358">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焊接手套</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240C7F76">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焊接手套</w:t>
            </w:r>
            <w:r>
              <w:rPr>
                <w:rFonts w:hint="eastAsia" w:ascii="宋体" w:hAnsi="宋体" w:eastAsia="宋体" w:cs="宋体"/>
                <w:b w:val="0"/>
                <w:bCs/>
                <w:color w:val="auto"/>
                <w:kern w:val="0"/>
                <w:sz w:val="21"/>
                <w:szCs w:val="21"/>
                <w:highlight w:val="none"/>
                <w:lang w:eastAsia="zh-CN" w:bidi="ar"/>
              </w:rPr>
              <w:t>。</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6F064181">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5542220A">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r w14:paraId="7896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103E2C5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15</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2E0465A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风险告知牌</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015B997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根据特殊作业风险设置风险告知牌，材质亚克力。</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6DA45E7D">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106BE27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r w14:paraId="66C5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7F2B119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16</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19A3CEF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bidi="ar"/>
              </w:rPr>
              <w:t>场景设置牌</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7DC1E117">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根据特殊作业典型场景，设置场景设置牌，材质亚克力。</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45B65794">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2CA195A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r w14:paraId="6F0F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229F6D4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17</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44DF085B">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电焊机</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69F44C1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电焊机。</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4BE8BC5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2DA331E2">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台</w:t>
            </w:r>
          </w:p>
        </w:tc>
      </w:tr>
      <w:tr w14:paraId="56E0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Borders>
              <w:top w:val="single" w:color="auto" w:sz="4" w:space="0"/>
              <w:left w:val="single" w:color="auto" w:sz="4" w:space="0"/>
              <w:bottom w:val="single" w:color="auto" w:sz="4" w:space="0"/>
              <w:right w:val="single" w:color="auto" w:sz="4" w:space="0"/>
            </w:tcBorders>
            <w:noWrap w:val="0"/>
            <w:vAlign w:val="center"/>
          </w:tcPr>
          <w:p w14:paraId="373DF62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18</w:t>
            </w:r>
          </w:p>
        </w:tc>
        <w:tc>
          <w:tcPr>
            <w:tcW w:w="1226" w:type="pct"/>
            <w:tcBorders>
              <w:top w:val="single" w:color="auto" w:sz="4" w:space="0"/>
              <w:left w:val="single" w:color="auto" w:sz="4" w:space="0"/>
              <w:bottom w:val="single" w:color="auto" w:sz="4" w:space="0"/>
              <w:right w:val="single" w:color="auto" w:sz="4" w:space="0"/>
            </w:tcBorders>
            <w:noWrap w:val="0"/>
            <w:vAlign w:val="center"/>
          </w:tcPr>
          <w:p w14:paraId="042EE79F">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监控摄像头</w:t>
            </w:r>
          </w:p>
        </w:tc>
        <w:tc>
          <w:tcPr>
            <w:tcW w:w="2408" w:type="pct"/>
            <w:tcBorders>
              <w:top w:val="single" w:color="auto" w:sz="4" w:space="0"/>
              <w:left w:val="single" w:color="auto" w:sz="4" w:space="0"/>
              <w:bottom w:val="single" w:color="auto" w:sz="4" w:space="0"/>
              <w:right w:val="single" w:color="auto" w:sz="4" w:space="0"/>
            </w:tcBorders>
            <w:noWrap w:val="0"/>
            <w:vAlign w:val="bottom"/>
          </w:tcPr>
          <w:p w14:paraId="762469B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作业全程视频监控高清摄像头。</w:t>
            </w:r>
          </w:p>
        </w:tc>
        <w:tc>
          <w:tcPr>
            <w:tcW w:w="403" w:type="pct"/>
            <w:tcBorders>
              <w:top w:val="single" w:color="auto" w:sz="4" w:space="0"/>
              <w:left w:val="single" w:color="auto" w:sz="4" w:space="0"/>
              <w:bottom w:val="single" w:color="auto" w:sz="4" w:space="0"/>
              <w:right w:val="single" w:color="auto" w:sz="4" w:space="0"/>
            </w:tcBorders>
            <w:noWrap w:val="0"/>
            <w:vAlign w:val="center"/>
          </w:tcPr>
          <w:p w14:paraId="03DFFDFD">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1002A24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路</w:t>
            </w:r>
          </w:p>
        </w:tc>
      </w:tr>
    </w:tbl>
    <w:p w14:paraId="24416177">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③高处作业</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2203"/>
        <w:gridCol w:w="5056"/>
        <w:gridCol w:w="770"/>
        <w:gridCol w:w="742"/>
      </w:tblGrid>
      <w:tr w14:paraId="5F17C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6C5A3EC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1388481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设备名称</w:t>
            </w:r>
          </w:p>
        </w:tc>
        <w:tc>
          <w:tcPr>
            <w:tcW w:w="2625" w:type="pct"/>
            <w:tcBorders>
              <w:top w:val="single" w:color="auto" w:sz="4" w:space="0"/>
              <w:left w:val="single" w:color="auto" w:sz="4" w:space="0"/>
              <w:bottom w:val="single" w:color="auto" w:sz="4" w:space="0"/>
              <w:right w:val="single" w:color="auto" w:sz="4" w:space="0"/>
            </w:tcBorders>
            <w:noWrap w:val="0"/>
            <w:vAlign w:val="center"/>
          </w:tcPr>
          <w:p w14:paraId="0414E95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规格及参数</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8CC2F18">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043B42B4">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w:t>
            </w:r>
          </w:p>
        </w:tc>
      </w:tr>
      <w:tr w14:paraId="191F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0EA1F444">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62A679DF">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垂直生命线系统</w:t>
            </w:r>
          </w:p>
        </w:tc>
        <w:tc>
          <w:tcPr>
            <w:tcW w:w="2625" w:type="pct"/>
            <w:tcBorders>
              <w:top w:val="single" w:color="auto" w:sz="4" w:space="0"/>
              <w:left w:val="single" w:color="auto" w:sz="4" w:space="0"/>
              <w:bottom w:val="single" w:color="auto" w:sz="4" w:space="0"/>
              <w:right w:val="single" w:color="auto" w:sz="4" w:space="0"/>
            </w:tcBorders>
            <w:noWrap w:val="0"/>
            <w:vAlign w:val="center"/>
          </w:tcPr>
          <w:p w14:paraId="11F70731">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定制。</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3E6E3B0">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B2082F6">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5D15F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277189E1">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1E07F73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水平生命线系统</w:t>
            </w:r>
          </w:p>
        </w:tc>
        <w:tc>
          <w:tcPr>
            <w:tcW w:w="2625" w:type="pct"/>
            <w:tcBorders>
              <w:top w:val="single" w:color="auto" w:sz="4" w:space="0"/>
              <w:left w:val="single" w:color="auto" w:sz="4" w:space="0"/>
              <w:bottom w:val="single" w:color="auto" w:sz="4" w:space="0"/>
              <w:right w:val="single" w:color="auto" w:sz="4" w:space="0"/>
            </w:tcBorders>
            <w:noWrap w:val="0"/>
            <w:vAlign w:val="center"/>
          </w:tcPr>
          <w:p w14:paraId="69DB1554">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定制。</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0AE6EB8">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CAAE702">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2AF2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5B848512">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2677E6D">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五点式安全带</w:t>
            </w:r>
          </w:p>
        </w:tc>
        <w:tc>
          <w:tcPr>
            <w:tcW w:w="2625" w:type="pct"/>
            <w:tcBorders>
              <w:top w:val="single" w:color="auto" w:sz="4" w:space="0"/>
              <w:left w:val="single" w:color="auto" w:sz="4" w:space="0"/>
              <w:bottom w:val="single" w:color="auto" w:sz="4" w:space="0"/>
              <w:right w:val="single" w:color="auto" w:sz="4" w:space="0"/>
            </w:tcBorders>
            <w:noWrap w:val="0"/>
            <w:vAlign w:val="center"/>
          </w:tcPr>
          <w:p w14:paraId="3DE76DA6">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五点式安全带</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09AAC22">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4E9E18E7">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6FA67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630664E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12AA0A8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工具包</w:t>
            </w:r>
          </w:p>
        </w:tc>
        <w:tc>
          <w:tcPr>
            <w:tcW w:w="2625" w:type="pct"/>
            <w:tcBorders>
              <w:top w:val="single" w:color="auto" w:sz="4" w:space="0"/>
              <w:left w:val="single" w:color="auto" w:sz="4" w:space="0"/>
              <w:bottom w:val="single" w:color="auto" w:sz="4" w:space="0"/>
              <w:right w:val="single" w:color="auto" w:sz="4" w:space="0"/>
            </w:tcBorders>
            <w:noWrap w:val="0"/>
            <w:vAlign w:val="center"/>
          </w:tcPr>
          <w:p w14:paraId="7268B4E2">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cs="宋体"/>
                <w:b w:val="0"/>
                <w:bCs/>
                <w:color w:val="auto"/>
                <w:sz w:val="21"/>
                <w:szCs w:val="21"/>
                <w:highlight w:val="none"/>
                <w:lang w:val="en-US" w:eastAsia="zh-CN"/>
              </w:rPr>
              <w:t>标配</w:t>
            </w:r>
            <w:r>
              <w:rPr>
                <w:rFonts w:hint="eastAsia" w:ascii="宋体" w:hAnsi="宋体" w:eastAsia="宋体" w:cs="宋体"/>
                <w:b w:val="0"/>
                <w:bCs/>
                <w:color w:val="auto"/>
                <w:sz w:val="21"/>
                <w:szCs w:val="21"/>
                <w:highlight w:val="none"/>
              </w:rPr>
              <w:t>工具包</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B8DCFB9">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260753D2">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7BB50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536A6696">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63E48E74">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脚手架</w:t>
            </w:r>
          </w:p>
        </w:tc>
        <w:tc>
          <w:tcPr>
            <w:tcW w:w="2625" w:type="pct"/>
            <w:tcBorders>
              <w:top w:val="single" w:color="auto" w:sz="4" w:space="0"/>
              <w:left w:val="single" w:color="auto" w:sz="4" w:space="0"/>
              <w:bottom w:val="single" w:color="auto" w:sz="4" w:space="0"/>
              <w:right w:val="single" w:color="auto" w:sz="4" w:space="0"/>
            </w:tcBorders>
            <w:noWrap w:val="0"/>
            <w:vAlign w:val="center"/>
          </w:tcPr>
          <w:p w14:paraId="73327400">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根据场地合理搭建，尺寸≥2000*500*3200mm。</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86DAB4E">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32A4AF6C">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5B84C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09351934">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2FEEB222">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作业风险告知牌</w:t>
            </w:r>
          </w:p>
        </w:tc>
        <w:tc>
          <w:tcPr>
            <w:tcW w:w="2625" w:type="pct"/>
            <w:tcBorders>
              <w:top w:val="single" w:color="auto" w:sz="4" w:space="0"/>
              <w:left w:val="single" w:color="auto" w:sz="4" w:space="0"/>
              <w:bottom w:val="single" w:color="auto" w:sz="4" w:space="0"/>
              <w:right w:val="single" w:color="auto" w:sz="4" w:space="0"/>
            </w:tcBorders>
            <w:noWrap w:val="0"/>
            <w:vAlign w:val="bottom"/>
          </w:tcPr>
          <w:p w14:paraId="3D30268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根据特殊作业风险设置风险告知牌，材质亚克力。</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8B7D725">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715AC6D">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7B1E0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121405F0">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75BD96D">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场景设置牌</w:t>
            </w:r>
          </w:p>
        </w:tc>
        <w:tc>
          <w:tcPr>
            <w:tcW w:w="2625" w:type="pct"/>
            <w:tcBorders>
              <w:top w:val="single" w:color="auto" w:sz="4" w:space="0"/>
              <w:left w:val="single" w:color="auto" w:sz="4" w:space="0"/>
              <w:bottom w:val="single" w:color="auto" w:sz="4" w:space="0"/>
              <w:right w:val="single" w:color="auto" w:sz="4" w:space="0"/>
            </w:tcBorders>
            <w:noWrap w:val="0"/>
            <w:vAlign w:val="bottom"/>
          </w:tcPr>
          <w:p w14:paraId="6FD3B133">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根据特殊作业典型场景，设置场景设置牌，材质亚克力。</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5845CB9">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475F7D9">
            <w:pPr>
              <w:keepNext w:val="0"/>
              <w:keepLines w:val="0"/>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bl>
    <w:p w14:paraId="6E9A27E2">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④工艺隔离作业（盲板抽堵作业）</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203"/>
        <w:gridCol w:w="5058"/>
        <w:gridCol w:w="770"/>
        <w:gridCol w:w="742"/>
      </w:tblGrid>
      <w:tr w14:paraId="79A3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6A225F92">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1E4E4078">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设备名称</w:t>
            </w:r>
          </w:p>
        </w:tc>
        <w:tc>
          <w:tcPr>
            <w:tcW w:w="2626" w:type="pct"/>
            <w:tcBorders>
              <w:top w:val="single" w:color="auto" w:sz="4" w:space="0"/>
              <w:left w:val="single" w:color="auto" w:sz="4" w:space="0"/>
              <w:bottom w:val="single" w:color="auto" w:sz="4" w:space="0"/>
              <w:right w:val="single" w:color="auto" w:sz="4" w:space="0"/>
            </w:tcBorders>
            <w:noWrap w:val="0"/>
            <w:vAlign w:val="center"/>
          </w:tcPr>
          <w:p w14:paraId="6C28A3DB">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规格及参数</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F33E1D7">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06019FEF">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w:t>
            </w:r>
          </w:p>
        </w:tc>
      </w:tr>
      <w:tr w14:paraId="28E0E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44A869A3">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18F1306C">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铜制工具</w:t>
            </w:r>
          </w:p>
        </w:tc>
        <w:tc>
          <w:tcPr>
            <w:tcW w:w="2626" w:type="pct"/>
            <w:tcBorders>
              <w:top w:val="single" w:color="auto" w:sz="4" w:space="0"/>
              <w:left w:val="single" w:color="auto" w:sz="4" w:space="0"/>
              <w:bottom w:val="single" w:color="auto" w:sz="4" w:space="0"/>
              <w:right w:val="single" w:color="auto" w:sz="4" w:space="0"/>
            </w:tcBorders>
            <w:noWrap w:val="0"/>
            <w:vAlign w:val="center"/>
          </w:tcPr>
          <w:p w14:paraId="6737CACC">
            <w:pPr>
              <w:pageBreakBefore w:val="0"/>
              <w:shd w:val="clear" w:color="auto" w:fill="auto"/>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梅花扳手等组合工具。</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E87A411">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0E75E97">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1FD3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1C64F4B7">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ACA2822">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铁制工具</w:t>
            </w:r>
          </w:p>
        </w:tc>
        <w:tc>
          <w:tcPr>
            <w:tcW w:w="2626" w:type="pct"/>
            <w:tcBorders>
              <w:top w:val="single" w:color="auto" w:sz="4" w:space="0"/>
              <w:left w:val="single" w:color="auto" w:sz="4" w:space="0"/>
              <w:bottom w:val="single" w:color="auto" w:sz="4" w:space="0"/>
              <w:right w:val="single" w:color="auto" w:sz="4" w:space="0"/>
            </w:tcBorders>
            <w:noWrap w:val="0"/>
            <w:vAlign w:val="center"/>
          </w:tcPr>
          <w:p w14:paraId="5378450B">
            <w:pPr>
              <w:pageBreakBefore w:val="0"/>
              <w:shd w:val="clear" w:color="auto" w:fill="auto"/>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梅花扳手等组合工具。</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2A518CC">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61D7B37">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2FF58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12EF0DC1">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357A66A">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防酸碱面罩</w:t>
            </w:r>
          </w:p>
        </w:tc>
        <w:tc>
          <w:tcPr>
            <w:tcW w:w="2626" w:type="pct"/>
            <w:tcBorders>
              <w:top w:val="single" w:color="auto" w:sz="4" w:space="0"/>
              <w:left w:val="single" w:color="auto" w:sz="4" w:space="0"/>
              <w:bottom w:val="single" w:color="auto" w:sz="4" w:space="0"/>
              <w:right w:val="single" w:color="auto" w:sz="4" w:space="0"/>
            </w:tcBorders>
            <w:noWrap w:val="0"/>
            <w:vAlign w:val="center"/>
          </w:tcPr>
          <w:p w14:paraId="0E30C765">
            <w:pPr>
              <w:pageBreakBefore w:val="0"/>
              <w:shd w:val="clear" w:color="auto" w:fill="auto"/>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全面式面罩。</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F2AEC8E">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5A5FF2A">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0A713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6B3CB55D">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8E3D989">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盲板</w:t>
            </w:r>
          </w:p>
        </w:tc>
        <w:tc>
          <w:tcPr>
            <w:tcW w:w="2626" w:type="pct"/>
            <w:tcBorders>
              <w:top w:val="single" w:color="auto" w:sz="4" w:space="0"/>
              <w:left w:val="single" w:color="auto" w:sz="4" w:space="0"/>
              <w:bottom w:val="single" w:color="auto" w:sz="4" w:space="0"/>
              <w:right w:val="single" w:color="auto" w:sz="4" w:space="0"/>
            </w:tcBorders>
            <w:noWrap w:val="0"/>
            <w:vAlign w:val="center"/>
          </w:tcPr>
          <w:p w14:paraId="66162CFE">
            <w:pPr>
              <w:pageBreakBefore w:val="0"/>
              <w:shd w:val="clear" w:color="auto" w:fill="auto"/>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根据场景设置配置普通盲板及八字盲板</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65765CB">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6F91EC2E">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00AE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40ED6D95">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3F55A34">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垫片</w:t>
            </w:r>
          </w:p>
        </w:tc>
        <w:tc>
          <w:tcPr>
            <w:tcW w:w="2626" w:type="pct"/>
            <w:tcBorders>
              <w:top w:val="single" w:color="auto" w:sz="4" w:space="0"/>
              <w:left w:val="single" w:color="auto" w:sz="4" w:space="0"/>
              <w:bottom w:val="single" w:color="auto" w:sz="4" w:space="0"/>
              <w:right w:val="single" w:color="auto" w:sz="4" w:space="0"/>
            </w:tcBorders>
            <w:noWrap w:val="0"/>
            <w:vAlign w:val="center"/>
          </w:tcPr>
          <w:p w14:paraId="6DBD2C8F">
            <w:pPr>
              <w:pageBreakBefore w:val="0"/>
              <w:shd w:val="clear" w:color="auto" w:fill="auto"/>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根据场景、盲板大小配置</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38C77E5">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04F17F97">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0E1C8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233894F5">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303675DF">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F扳手</w:t>
            </w:r>
          </w:p>
        </w:tc>
        <w:tc>
          <w:tcPr>
            <w:tcW w:w="2626" w:type="pct"/>
            <w:tcBorders>
              <w:top w:val="single" w:color="auto" w:sz="4" w:space="0"/>
              <w:left w:val="single" w:color="auto" w:sz="4" w:space="0"/>
              <w:bottom w:val="single" w:color="auto" w:sz="4" w:space="0"/>
              <w:right w:val="single" w:color="auto" w:sz="4" w:space="0"/>
            </w:tcBorders>
            <w:noWrap w:val="0"/>
            <w:vAlign w:val="center"/>
          </w:tcPr>
          <w:p w14:paraId="769D814A">
            <w:pPr>
              <w:pageBreakBefore w:val="0"/>
              <w:shd w:val="clear" w:color="auto" w:fill="auto"/>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大中小，铁制、铜制</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26BF257">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3087FED9">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51490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291805D5">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2E5E888">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作业风险告知牌</w:t>
            </w:r>
          </w:p>
        </w:tc>
        <w:tc>
          <w:tcPr>
            <w:tcW w:w="2626" w:type="pct"/>
            <w:tcBorders>
              <w:top w:val="single" w:color="auto" w:sz="4" w:space="0"/>
              <w:left w:val="single" w:color="auto" w:sz="4" w:space="0"/>
              <w:bottom w:val="single" w:color="auto" w:sz="4" w:space="0"/>
              <w:right w:val="single" w:color="auto" w:sz="4" w:space="0"/>
            </w:tcBorders>
            <w:noWrap w:val="0"/>
            <w:vAlign w:val="bottom"/>
          </w:tcPr>
          <w:p w14:paraId="1F0691A2">
            <w:pPr>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根据特殊作业风险设置风险告知牌，材质亚克力。</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E330D34">
            <w:pPr>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644B6095">
            <w:pPr>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0DA5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305717D4">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5A0B772">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场景设置牌</w:t>
            </w:r>
          </w:p>
        </w:tc>
        <w:tc>
          <w:tcPr>
            <w:tcW w:w="2626" w:type="pct"/>
            <w:tcBorders>
              <w:top w:val="single" w:color="auto" w:sz="4" w:space="0"/>
              <w:left w:val="single" w:color="auto" w:sz="4" w:space="0"/>
              <w:bottom w:val="single" w:color="auto" w:sz="4" w:space="0"/>
              <w:right w:val="single" w:color="auto" w:sz="4" w:space="0"/>
            </w:tcBorders>
            <w:noWrap w:val="0"/>
            <w:vAlign w:val="bottom"/>
          </w:tcPr>
          <w:p w14:paraId="4FDE91F1">
            <w:pPr>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根据特殊作业典型场景，设置场景设置牌，材质亚克力。</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35EEF19">
            <w:pPr>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CD07245">
            <w:pPr>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66F70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7CCA9EA4">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006EF924">
            <w:pPr>
              <w:pageBreakBefore w:val="0"/>
              <w:shd w:val="clear" w:color="auto" w:fill="auto"/>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盲板旗</w:t>
            </w:r>
          </w:p>
        </w:tc>
        <w:tc>
          <w:tcPr>
            <w:tcW w:w="2626" w:type="pct"/>
            <w:tcBorders>
              <w:top w:val="single" w:color="auto" w:sz="4" w:space="0"/>
              <w:left w:val="single" w:color="auto" w:sz="4" w:space="0"/>
              <w:bottom w:val="single" w:color="auto" w:sz="4" w:space="0"/>
              <w:right w:val="single" w:color="auto" w:sz="4" w:space="0"/>
            </w:tcBorders>
            <w:noWrap w:val="0"/>
            <w:vAlign w:val="bottom"/>
          </w:tcPr>
          <w:p w14:paraId="721140D8">
            <w:pPr>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根据盲板的尺寸和现场环境来配置。</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7CB07B1">
            <w:pPr>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8F28E87">
            <w:pPr>
              <w:pageBreakBefore w:val="0"/>
              <w:shd w:val="clear" w:color="auto" w:fill="auto"/>
              <w:tabs>
                <w:tab w:val="left" w:pos="1337"/>
              </w:tabs>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bl>
    <w:p w14:paraId="5D285462">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⑤临时用电作业</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2202"/>
        <w:gridCol w:w="5058"/>
        <w:gridCol w:w="770"/>
        <w:gridCol w:w="741"/>
      </w:tblGrid>
      <w:tr w14:paraId="2FBD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59A9DA0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2375BE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设备名称</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6456023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规格及参数</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F0D6D3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8AD0CE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w:t>
            </w:r>
          </w:p>
        </w:tc>
      </w:tr>
      <w:tr w14:paraId="45A9C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29BC613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3F59330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三级配电箱</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5C4B362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应与实训装置相结合，实现机泵停、送电操作</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397808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302B82D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1D7F9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2D11AB3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F89741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电线</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7CC4372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应与实训装置相结合，可开展隐患排查</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0B1526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0D6651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537C2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1A233B5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265ECE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电器柜锁具</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43C1F33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应与实训装置相结合</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539930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66EDDB7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5EDE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315B2599">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2D527DD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警戒带</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5DD1E51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应与实训装置相结合</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797ED9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307D28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0B516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3232BF5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6AAEAB1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配电盘</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71E8E75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应与实训装置相结合</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19C092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6EECA20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16AB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15A6604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3E0FE54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电线桥架筒</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148E0E0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应与实训装置相结合</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AEF6BA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34F9A7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00ED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43FF471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641F8E2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作业风险告知牌</w:t>
            </w:r>
          </w:p>
        </w:tc>
        <w:tc>
          <w:tcPr>
            <w:tcW w:w="2627" w:type="pct"/>
            <w:tcBorders>
              <w:top w:val="single" w:color="auto" w:sz="4" w:space="0"/>
              <w:left w:val="single" w:color="auto" w:sz="4" w:space="0"/>
              <w:bottom w:val="single" w:color="auto" w:sz="4" w:space="0"/>
              <w:right w:val="single" w:color="auto" w:sz="4" w:space="0"/>
            </w:tcBorders>
            <w:noWrap w:val="0"/>
            <w:vAlign w:val="bottom"/>
          </w:tcPr>
          <w:p w14:paraId="4E1A3864">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根据特殊作业风险设置风险告知牌，材质亚克力。</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03A2AE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0070457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r w14:paraId="3E8D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6BED47D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18EA9F5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场景设置牌</w:t>
            </w:r>
          </w:p>
        </w:tc>
        <w:tc>
          <w:tcPr>
            <w:tcW w:w="2627" w:type="pct"/>
            <w:tcBorders>
              <w:top w:val="single" w:color="auto" w:sz="4" w:space="0"/>
              <w:left w:val="single" w:color="auto" w:sz="4" w:space="0"/>
              <w:bottom w:val="single" w:color="auto" w:sz="4" w:space="0"/>
              <w:right w:val="single" w:color="auto" w:sz="4" w:space="0"/>
            </w:tcBorders>
            <w:noWrap w:val="0"/>
            <w:vAlign w:val="bottom"/>
          </w:tcPr>
          <w:p w14:paraId="17DC18B9">
            <w:pPr>
              <w:keepNext w:val="0"/>
              <w:keepLines w:val="0"/>
              <w:pageBreakBefore w:val="0"/>
              <w:widowControl/>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根据特殊作业典型场景，设置场景设置牌，材质亚克力。</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2C4811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26E0D1C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套</w:t>
            </w:r>
          </w:p>
        </w:tc>
      </w:tr>
    </w:tbl>
    <w:p w14:paraId="0155F2F9">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⑥吊装作业</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203"/>
        <w:gridCol w:w="5059"/>
        <w:gridCol w:w="770"/>
        <w:gridCol w:w="741"/>
      </w:tblGrid>
      <w:tr w14:paraId="590F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0252F24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AB9BBF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设备名称</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3045DC5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规格及参数</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F93ED6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B43952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w:t>
            </w:r>
          </w:p>
        </w:tc>
      </w:tr>
      <w:tr w14:paraId="0D8F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42C59B9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E45301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小型行吊</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1ADACEF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3吨级，跨度6m，电动葫芦式</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C5E60A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4B2BAD6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台</w:t>
            </w:r>
          </w:p>
        </w:tc>
      </w:tr>
      <w:tr w14:paraId="451F9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69E1B54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CD29809">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钢丝绳</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651875E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Φ16mm×6m，6×19+1纤维芯，破断拉力≥160kN</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6C9EDA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369AFC9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根</w:t>
            </w:r>
          </w:p>
        </w:tc>
      </w:tr>
      <w:tr w14:paraId="657B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317216F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CF7C55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安全帽</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443148B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玻璃钢材质，V型顶带</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53FAD6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09EE761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顶</w:t>
            </w:r>
          </w:p>
        </w:tc>
      </w:tr>
      <w:tr w14:paraId="2BA4F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53C3CB6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F64889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安全带</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0A956C6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五点式单钩，带缓冲包</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F138BE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3E8860C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条</w:t>
            </w:r>
          </w:p>
        </w:tc>
      </w:tr>
      <w:tr w14:paraId="37A6A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452D75B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7E2757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防砸鞋</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3DE7E1B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钢头防刺穿</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43EFCD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5727A6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双</w:t>
            </w:r>
          </w:p>
        </w:tc>
      </w:tr>
      <w:tr w14:paraId="5AE92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284890E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5066C9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警示标志牌</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3DE3D2D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定制。</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7F5F2A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054ABFA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386BD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 w:type="pct"/>
            <w:tcBorders>
              <w:top w:val="single" w:color="auto" w:sz="4" w:space="0"/>
              <w:left w:val="single" w:color="auto" w:sz="4" w:space="0"/>
              <w:bottom w:val="single" w:color="auto" w:sz="4" w:space="0"/>
              <w:right w:val="single" w:color="auto" w:sz="4" w:space="0"/>
            </w:tcBorders>
            <w:noWrap w:val="0"/>
            <w:vAlign w:val="center"/>
          </w:tcPr>
          <w:p w14:paraId="2426C0E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19E517E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灭火器</w:t>
            </w:r>
          </w:p>
        </w:tc>
        <w:tc>
          <w:tcPr>
            <w:tcW w:w="2627" w:type="pct"/>
            <w:tcBorders>
              <w:top w:val="single" w:color="auto" w:sz="4" w:space="0"/>
              <w:left w:val="single" w:color="auto" w:sz="4" w:space="0"/>
              <w:bottom w:val="single" w:color="auto" w:sz="4" w:space="0"/>
              <w:right w:val="single" w:color="auto" w:sz="4" w:space="0"/>
            </w:tcBorders>
            <w:noWrap w:val="0"/>
            <w:vAlign w:val="bottom"/>
          </w:tcPr>
          <w:p w14:paraId="2E80C419">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干粉型</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31A264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21B24AF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套</w:t>
            </w:r>
          </w:p>
        </w:tc>
      </w:tr>
    </w:tbl>
    <w:p w14:paraId="707B8033">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⑦动土及断路作业</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2202"/>
        <w:gridCol w:w="5058"/>
        <w:gridCol w:w="770"/>
        <w:gridCol w:w="741"/>
      </w:tblGrid>
      <w:tr w14:paraId="353EC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4AE3834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B732E9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设备名称</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752D5DB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规格及参数</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46FFD6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1B1D39B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w:t>
            </w:r>
          </w:p>
        </w:tc>
      </w:tr>
      <w:tr w14:paraId="595C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5E00396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4977F21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沙盘</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5AAA7F1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定制，满足动土和断路实训</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49ED5F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7CC0C87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0182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2A90EB6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6FD1B64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铁锹</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1071FDE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尖头锰钢材质，木柄1.2m</w:t>
            </w:r>
            <w:r>
              <w:rPr>
                <w:rFonts w:hint="eastAsia" w:ascii="宋体" w:hAnsi="宋体" w:eastAsia="宋体" w:cs="宋体"/>
                <w:b w:val="0"/>
                <w:bCs/>
                <w:color w:val="auto"/>
                <w:sz w:val="21"/>
                <w:szCs w:val="21"/>
                <w:highlight w:val="none"/>
                <w:lang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4BEDAF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20553A0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把</w:t>
            </w:r>
          </w:p>
        </w:tc>
      </w:tr>
      <w:tr w14:paraId="599B7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6AEDFF1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3979D06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警示围栏</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1F8EADA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伸缩式，红白相间</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10米。</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ACB829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3470139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套</w:t>
            </w:r>
          </w:p>
        </w:tc>
      </w:tr>
      <w:tr w14:paraId="15A9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00401F39">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6BD7ADD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交通路障</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297427B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水马，高600mm，注水式</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20FBAC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5</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38E8DBD8">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个</w:t>
            </w:r>
          </w:p>
        </w:tc>
      </w:tr>
      <w:tr w14:paraId="4BD0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051A6D7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5766B59">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警示标志牌</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0E23D793">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铝制反光</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8B36AC6">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4</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458764EB">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块</w:t>
            </w:r>
          </w:p>
        </w:tc>
      </w:tr>
      <w:tr w14:paraId="01282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681FFE9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5D0E9FC0">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锥形交通标</w:t>
            </w:r>
          </w:p>
        </w:tc>
        <w:tc>
          <w:tcPr>
            <w:tcW w:w="2627" w:type="pct"/>
            <w:tcBorders>
              <w:top w:val="single" w:color="auto" w:sz="4" w:space="0"/>
              <w:left w:val="single" w:color="auto" w:sz="4" w:space="0"/>
              <w:bottom w:val="single" w:color="auto" w:sz="4" w:space="0"/>
              <w:right w:val="single" w:color="auto" w:sz="4" w:space="0"/>
            </w:tcBorders>
            <w:noWrap w:val="0"/>
            <w:vAlign w:val="center"/>
          </w:tcPr>
          <w:p w14:paraId="5F666F7A">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500mm高，荧光黄黑相间</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FF3FB4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0</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7BEBD6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个</w:t>
            </w:r>
          </w:p>
        </w:tc>
      </w:tr>
      <w:tr w14:paraId="06C1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76EEF54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636C5F0F">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反光背心</w:t>
            </w:r>
          </w:p>
        </w:tc>
        <w:tc>
          <w:tcPr>
            <w:tcW w:w="2627" w:type="pct"/>
            <w:tcBorders>
              <w:top w:val="single" w:color="auto" w:sz="4" w:space="0"/>
              <w:left w:val="single" w:color="auto" w:sz="4" w:space="0"/>
              <w:bottom w:val="single" w:color="auto" w:sz="4" w:space="0"/>
              <w:right w:val="single" w:color="auto" w:sz="4" w:space="0"/>
            </w:tcBorders>
            <w:noWrap w:val="0"/>
            <w:vAlign w:val="bottom"/>
          </w:tcPr>
          <w:p w14:paraId="7F14BA4D">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高可视性，荧光黄</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7540401">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048C6987">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件</w:t>
            </w:r>
          </w:p>
        </w:tc>
      </w:tr>
      <w:tr w14:paraId="3C79D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 w:type="pct"/>
            <w:tcBorders>
              <w:top w:val="single" w:color="auto" w:sz="4" w:space="0"/>
              <w:left w:val="single" w:color="auto" w:sz="4" w:space="0"/>
              <w:bottom w:val="single" w:color="auto" w:sz="4" w:space="0"/>
              <w:right w:val="single" w:color="auto" w:sz="4" w:space="0"/>
            </w:tcBorders>
            <w:noWrap w:val="0"/>
            <w:vAlign w:val="center"/>
          </w:tcPr>
          <w:p w14:paraId="7EE32EA5">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w:t>
            </w:r>
          </w:p>
        </w:tc>
        <w:tc>
          <w:tcPr>
            <w:tcW w:w="1144" w:type="pct"/>
            <w:tcBorders>
              <w:top w:val="single" w:color="auto" w:sz="4" w:space="0"/>
              <w:left w:val="single" w:color="auto" w:sz="4" w:space="0"/>
              <w:bottom w:val="single" w:color="auto" w:sz="4" w:space="0"/>
              <w:right w:val="single" w:color="auto" w:sz="4" w:space="0"/>
            </w:tcBorders>
            <w:noWrap w:val="0"/>
            <w:vAlign w:val="center"/>
          </w:tcPr>
          <w:p w14:paraId="7C31B9EE">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安全帽</w:t>
            </w:r>
          </w:p>
        </w:tc>
        <w:tc>
          <w:tcPr>
            <w:tcW w:w="2627" w:type="pct"/>
            <w:tcBorders>
              <w:top w:val="single" w:color="auto" w:sz="4" w:space="0"/>
              <w:left w:val="single" w:color="auto" w:sz="4" w:space="0"/>
              <w:bottom w:val="single" w:color="auto" w:sz="4" w:space="0"/>
              <w:right w:val="single" w:color="auto" w:sz="4" w:space="0"/>
            </w:tcBorders>
            <w:noWrap w:val="0"/>
            <w:vAlign w:val="bottom"/>
          </w:tcPr>
          <w:p w14:paraId="3D1887C2">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玻璃钢材质，V型顶带</w:t>
            </w:r>
            <w:r>
              <w:rPr>
                <w:rFonts w:hint="eastAsia" w:ascii="宋体" w:hAnsi="宋体" w:eastAsia="宋体" w:cs="宋体"/>
                <w:b w:val="0"/>
                <w:bCs/>
                <w:color w:val="auto"/>
                <w:sz w:val="21"/>
                <w:szCs w:val="21"/>
                <w:highlight w:val="none"/>
                <w:lang w:val="en-US" w:eastAsia="zh-CN"/>
              </w:rPr>
              <w:t>。</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887A02C">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385" w:type="pct"/>
            <w:tcBorders>
              <w:top w:val="single" w:color="auto" w:sz="4" w:space="0"/>
              <w:left w:val="single" w:color="auto" w:sz="4" w:space="0"/>
              <w:bottom w:val="single" w:color="auto" w:sz="4" w:space="0"/>
              <w:right w:val="single" w:color="auto" w:sz="4" w:space="0"/>
            </w:tcBorders>
            <w:noWrap w:val="0"/>
            <w:vAlign w:val="center"/>
          </w:tcPr>
          <w:p w14:paraId="51393094">
            <w:pPr>
              <w:keepNext w:val="0"/>
              <w:keepLines w:val="0"/>
              <w:pageBreakBefore w:val="0"/>
              <w:shd w:val="clear" w:color="auto" w:fill="auto"/>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顶</w:t>
            </w:r>
          </w:p>
        </w:tc>
      </w:tr>
    </w:tbl>
    <w:p w14:paraId="3B1DF295">
      <w:pPr>
        <w:pStyle w:val="22"/>
        <w:spacing w:line="360" w:lineRule="auto"/>
        <w:ind w:left="0" w:leftChars="0" w:firstLine="0" w:firstLineChars="0"/>
        <w:rPr>
          <w:rFonts w:hint="eastAsia" w:ascii="宋体" w:hAnsi="宋体" w:eastAsia="宋体" w:cs="宋体"/>
          <w:color w:val="auto"/>
          <w:lang w:val="en-US" w:eastAsia="zh-CN"/>
        </w:rPr>
      </w:pPr>
    </w:p>
    <w:p w14:paraId="265DA12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eastAsia" w:ascii="宋体" w:hAnsi="宋体" w:eastAsia="宋体" w:cs="宋体"/>
          <w:b/>
          <w:bCs/>
          <w:color w:val="auto"/>
          <w:sz w:val="28"/>
          <w:szCs w:val="36"/>
          <w:lang w:val="en-US" w:eastAsia="zh-CN"/>
        </w:rPr>
      </w:pPr>
      <w:bookmarkStart w:id="231" w:name="_Toc1741"/>
      <w:r>
        <w:rPr>
          <w:rFonts w:hint="eastAsia" w:ascii="宋体" w:hAnsi="宋体" w:eastAsia="宋体" w:cs="宋体"/>
          <w:b/>
          <w:bCs/>
          <w:color w:val="auto"/>
          <w:kern w:val="2"/>
          <w:sz w:val="28"/>
          <w:szCs w:val="36"/>
          <w:lang w:val="en-US" w:eastAsia="zh-CN" w:bidi="ar-SA"/>
        </w:rPr>
        <w:t>五、</w:t>
      </w:r>
      <w:r>
        <w:rPr>
          <w:rFonts w:hint="eastAsia" w:ascii="宋体" w:hAnsi="宋体" w:eastAsia="宋体" w:cs="宋体"/>
          <w:b/>
          <w:bCs/>
          <w:color w:val="auto"/>
          <w:sz w:val="28"/>
          <w:szCs w:val="36"/>
          <w:lang w:val="en-US" w:eastAsia="zh-CN"/>
        </w:rPr>
        <w:t>工伤预防体验或演示设施</w:t>
      </w:r>
      <w:bookmarkEnd w:id="231"/>
    </w:p>
    <w:p w14:paraId="793C1A56">
      <w:pPr>
        <w:pStyle w:val="4"/>
        <w:keepNext/>
        <w:keepLines/>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b/>
          <w:bCs w:val="0"/>
          <w:color w:val="auto"/>
          <w:sz w:val="28"/>
          <w:szCs w:val="28"/>
          <w:highlight w:val="none"/>
          <w:lang w:val="en-US" w:eastAsia="zh-CN"/>
        </w:rPr>
      </w:pPr>
      <w:bookmarkStart w:id="232" w:name="_Toc955"/>
      <w:bookmarkStart w:id="233" w:name="_Toc851"/>
      <w:bookmarkStart w:id="234" w:name="_Toc2299"/>
      <w:r>
        <w:rPr>
          <w:rFonts w:hint="eastAsia" w:ascii="宋体" w:hAnsi="宋体" w:eastAsia="宋体" w:cs="宋体"/>
          <w:b/>
          <w:bCs w:val="0"/>
          <w:color w:val="auto"/>
          <w:kern w:val="2"/>
          <w:sz w:val="28"/>
          <w:szCs w:val="22"/>
          <w:lang w:val="en-US" w:eastAsia="zh-CN" w:bidi="ar-SA"/>
        </w:rPr>
        <w:t>（一）</w:t>
      </w:r>
      <w:r>
        <w:rPr>
          <w:rFonts w:hint="eastAsia" w:ascii="宋体" w:hAnsi="宋体" w:eastAsia="宋体" w:cs="宋体"/>
          <w:b/>
          <w:bCs w:val="0"/>
          <w:color w:val="auto"/>
          <w:sz w:val="28"/>
          <w:szCs w:val="28"/>
          <w:highlight w:val="none"/>
          <w:lang w:val="en-US" w:eastAsia="zh-CN"/>
        </w:rPr>
        <w:t>高处坠落模拟体验设施</w:t>
      </w:r>
      <w:bookmarkEnd w:id="232"/>
      <w:bookmarkEnd w:id="233"/>
      <w:bookmarkEnd w:id="234"/>
    </w:p>
    <w:p w14:paraId="4B519174">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1.1.</w:t>
      </w:r>
      <w:r>
        <w:rPr>
          <w:rFonts w:hint="eastAsia" w:ascii="宋体" w:hAnsi="宋体" w:eastAsia="宋体" w:cs="宋体"/>
          <w:color w:val="auto"/>
          <w:sz w:val="24"/>
          <w:szCs w:val="24"/>
          <w:lang w:val="en-US" w:eastAsia="zh-CN"/>
        </w:rPr>
        <w:t>功能概述</w:t>
      </w:r>
    </w:p>
    <w:p w14:paraId="506B05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模拟高空作业平台，体验时体验人员双手抱胸、双腿曲膝站立在坠落门指定位置上，按动遥控按钮通过伸缩突然开启活动门从洞口坠落，让体验者自由落体，模拟意外坠落事故的发生，以及当发生意外坠落事故后的应急措施及预防措施，让高空作业人员增加安全意识及防范意识，做到不违章作业、不冒险作业，避免事故的发生，及时有效地实施应急救援工作，限度地减少高空坠落人员伤亡和财产损失。</w:t>
      </w:r>
    </w:p>
    <w:p w14:paraId="098535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体验与培训，作业人员认识并掌握施工现场各类临边洞口防护措施做法和使用功能，提高作业人员安全意识。可将高处坠落事故应急演练融入其中，有针对性地检验此类安全事故的应急管理和应急响应程序，及时有效地实施应急救援工作，最大限度地减少高处坠落人员伤亡和财产损失，提高员工的安全生产意识。</w:t>
      </w:r>
    </w:p>
    <w:p w14:paraId="0B0393F1">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1.2.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color w:val="auto"/>
          <w:kern w:val="2"/>
          <w:sz w:val="24"/>
          <w:szCs w:val="24"/>
          <w:lang w:val="en-US" w:eastAsia="zh-CN" w:bidi="ar-SA"/>
        </w:rPr>
        <w:t>主要</w:t>
      </w:r>
      <w:r>
        <w:rPr>
          <w:rFonts w:hint="eastAsia" w:ascii="宋体" w:hAnsi="宋体" w:eastAsia="宋体" w:cs="宋体"/>
          <w:color w:val="auto"/>
          <w:sz w:val="24"/>
          <w:szCs w:val="24"/>
          <w:lang w:val="en-US" w:eastAsia="zh-CN"/>
        </w:rPr>
        <w:t>参数</w:t>
      </w:r>
    </w:p>
    <w:p w14:paraId="025078A0">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整体结构：由楼梯和房屋组成，采用镀锌方钢框架结构，钢材厚度≥4mm，带两层平台和爬梯，预留坠落洞口，具有遥控操作功能。采用焊接、螺栓连接方式构成设备主体框架，具备高强度、耐腐蚀性能，保障设备整体结构稳定性与耐用性，可长期在户外或室内施工环境使用。尺寸可根据现场实际尺寸调节。</w:t>
      </w:r>
    </w:p>
    <w:p w14:paraId="4EBE8229">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防滑板：平台表面铺设防滑板，材质可选防滑花纹钢板或高分子防滑材料，具备防滑性能，防止体验者在平台行走、站立时滑倒，提升体验过程安全性。</w:t>
      </w:r>
    </w:p>
    <w:p w14:paraId="1C599A78">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护栏：平台四周设有护栏，护栏采用与框架同材质镀锌方钢，高度≥1100mm，护栏立杆间距≤110mm ，横杆不少于两道，保障体验者在平台操作时的安全防护，防止意外坠落。</w:t>
      </w:r>
    </w:p>
    <w:p w14:paraId="57C70921">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坠落缓冲垫：尺寸应适配设备洞口下方空间，厚度≥300mm ，确保能完全覆盖坠落区域，提供充足缓冲保护。采用高强度、高弹性缓冲材料，如多层叠加的工业级海绵与弹性橡胶复合结构，外层包裹耐磨、抗撕裂的帆布或特种防护面料 。须具备良好缓冲性能，在体验者坠落时有效吸收冲击力，保障体验者安全，同时具备耐老化、耐候性，可适应不同环境使用。</w:t>
      </w:r>
    </w:p>
    <w:p w14:paraId="3D56DD16">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遥控装置：包含遥控器、信号接收模块、控制电路，可远程控制预留洞口防护装置的开启、关闭动作，控制响应时间≤1秒，保障操作及时性与体验连贯性。</w:t>
      </w:r>
    </w:p>
    <w:p w14:paraId="22AE71EC">
      <w:pPr>
        <w:spacing w:line="360" w:lineRule="auto"/>
        <w:ind w:firstLine="480" w:firstLineChars="20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警示标志标识：根据设备设施场景定制，材质采用PVC或亚克力。</w:t>
      </w:r>
    </w:p>
    <w:p w14:paraId="1243D031">
      <w:pPr>
        <w:pStyle w:val="4"/>
        <w:keepNext/>
        <w:keepLines/>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b/>
          <w:bCs w:val="0"/>
          <w:color w:val="auto"/>
          <w:kern w:val="2"/>
          <w:sz w:val="28"/>
          <w:szCs w:val="28"/>
          <w:lang w:val="en-US" w:eastAsia="zh-CN" w:bidi="ar-SA"/>
        </w:rPr>
      </w:pPr>
      <w:bookmarkStart w:id="235" w:name="_Toc3044"/>
      <w:bookmarkStart w:id="236" w:name="_Toc24361"/>
      <w:bookmarkStart w:id="237" w:name="_Toc19906"/>
      <w:r>
        <w:rPr>
          <w:rFonts w:hint="eastAsia" w:ascii="宋体" w:hAnsi="宋体" w:eastAsia="宋体" w:cs="宋体"/>
          <w:b/>
          <w:bCs w:val="0"/>
          <w:color w:val="auto"/>
          <w:kern w:val="2"/>
          <w:sz w:val="28"/>
          <w:szCs w:val="22"/>
          <w:lang w:val="en-US" w:eastAsia="zh-CN" w:bidi="ar-SA"/>
        </w:rPr>
        <w:t>（二）</w:t>
      </w:r>
      <w:r>
        <w:rPr>
          <w:rFonts w:hint="eastAsia" w:ascii="宋体" w:hAnsi="宋体" w:eastAsia="宋体" w:cs="宋体"/>
          <w:b/>
          <w:bCs w:val="0"/>
          <w:color w:val="auto"/>
          <w:kern w:val="2"/>
          <w:sz w:val="28"/>
          <w:szCs w:val="28"/>
          <w:lang w:val="en-US" w:eastAsia="zh-CN" w:bidi="ar-SA"/>
        </w:rPr>
        <w:t>中毒窒息模拟体验设施</w:t>
      </w:r>
      <w:bookmarkEnd w:id="235"/>
      <w:bookmarkEnd w:id="236"/>
      <w:bookmarkEnd w:id="237"/>
    </w:p>
    <w:p w14:paraId="0B9C9C25">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2.1.</w:t>
      </w:r>
      <w:r>
        <w:rPr>
          <w:rFonts w:hint="eastAsia" w:ascii="宋体" w:hAnsi="宋体" w:eastAsia="宋体" w:cs="宋体"/>
          <w:color w:val="auto"/>
          <w:sz w:val="24"/>
          <w:szCs w:val="24"/>
          <w:lang w:val="en-US" w:eastAsia="zh-CN"/>
        </w:rPr>
        <w:t>功能概述</w:t>
      </w:r>
    </w:p>
    <w:p w14:paraId="594918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通过屏幕介绍有毒有害气体的分类、危害以及具体的预防措施。同时通过摆件的形式，展示多种针对有毒有害气体的防护用具。提供有毒有害气体的教育材料，包括视频、手册，增强用户对有毒有害气体的认知。</w:t>
      </w:r>
    </w:p>
    <w:p w14:paraId="4AB902C2">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2.2.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color w:val="auto"/>
          <w:kern w:val="2"/>
          <w:sz w:val="24"/>
          <w:szCs w:val="24"/>
          <w:lang w:val="en-US" w:eastAsia="zh-CN" w:bidi="ar-SA"/>
        </w:rPr>
        <w:t>主要</w:t>
      </w:r>
      <w:r>
        <w:rPr>
          <w:rFonts w:hint="eastAsia" w:ascii="宋体" w:hAnsi="宋体" w:eastAsia="宋体" w:cs="宋体"/>
          <w:color w:val="auto"/>
          <w:sz w:val="24"/>
          <w:szCs w:val="24"/>
          <w:lang w:val="en-US" w:eastAsia="zh-CN"/>
        </w:rPr>
        <w:t>参数</w:t>
      </w:r>
    </w:p>
    <w:p w14:paraId="4A503A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整体展柜</w:t>
      </w:r>
      <w:r>
        <w:rPr>
          <w:rFonts w:hint="eastAsia" w:ascii="宋体" w:hAnsi="宋体" w:cs="宋体"/>
          <w:b w:val="0"/>
          <w:bCs w:val="0"/>
          <w:color w:val="auto"/>
          <w:sz w:val="24"/>
          <w:szCs w:val="24"/>
          <w:lang w:val="en-US" w:eastAsia="zh-CN"/>
        </w:rPr>
        <w:t>1套</w:t>
      </w:r>
      <w:r>
        <w:rPr>
          <w:rFonts w:hint="eastAsia" w:ascii="宋体" w:hAnsi="宋体" w:eastAsia="宋体" w:cs="宋体"/>
          <w:b w:val="0"/>
          <w:bCs w:val="0"/>
          <w:color w:val="auto"/>
          <w:sz w:val="24"/>
          <w:szCs w:val="24"/>
          <w:lang w:val="en-US" w:eastAsia="zh-CN"/>
        </w:rPr>
        <w:t>：尺寸1200mm×600mm×2100mm；框架材质：采用冷轧钢板，厚度≥1.2mm 。通过数控折弯、焊接工艺成型，框架表面平整，无毛刺、焊渣缺陷。饰面处理：采用白色烤漆工艺，烤漆厚度均匀，附着力强，表面光滑平整、色泽一致，具备耐磨损、耐刮擦、耐腐蚀性能，不易褪色，可适应展厅室内环境长期展示需求。</w:t>
      </w:r>
    </w:p>
    <w:p w14:paraId="2C76F2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智能控制终端</w:t>
      </w:r>
      <w:r>
        <w:rPr>
          <w:rFonts w:hint="eastAsia" w:ascii="宋体" w:hAnsi="宋体" w:cs="宋体"/>
          <w:b w:val="0"/>
          <w:bCs w:val="0"/>
          <w:color w:val="auto"/>
          <w:sz w:val="24"/>
          <w:szCs w:val="24"/>
          <w:lang w:val="en-US" w:eastAsia="zh-CN"/>
        </w:rPr>
        <w:t>1套</w:t>
      </w:r>
      <w:r>
        <w:rPr>
          <w:rFonts w:hint="eastAsia" w:ascii="宋体" w:hAnsi="宋体" w:eastAsia="宋体" w:cs="宋体"/>
          <w:b w:val="0"/>
          <w:bCs w:val="0"/>
          <w:color w:val="auto"/>
          <w:sz w:val="24"/>
          <w:szCs w:val="24"/>
          <w:lang w:val="en-US" w:eastAsia="zh-CN"/>
        </w:rPr>
        <w:t>：内存≥4G ，硬盘≥128G固态硬盘，显示尺寸≥32寸，分辨率≥1920×1080，采用LED背光显示技术。触控功能：支持十点电容触控，触控响应时间≤5ms。接口配置：具备 HDMI、USB、VGA 常用接口，可外接存储设备更新教育内容，或连接音频设备扩展音效输出。安装方式：采用嵌入式安装于展柜指定位置，与展柜集成一体，外观简洁美观，也可根据需求采用壁挂式等其他安装方式，保障显示区域稳固、视角合理。</w:t>
      </w:r>
    </w:p>
    <w:p w14:paraId="04CFEF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防护用具</w:t>
      </w:r>
      <w:r>
        <w:rPr>
          <w:rFonts w:hint="eastAsia" w:ascii="宋体" w:hAnsi="宋体" w:cs="宋体"/>
          <w:b w:val="0"/>
          <w:bCs w:val="0"/>
          <w:color w:val="auto"/>
          <w:sz w:val="24"/>
          <w:szCs w:val="24"/>
          <w:lang w:val="en-US" w:eastAsia="zh-CN"/>
        </w:rPr>
        <w:t>1套</w:t>
      </w:r>
      <w:r>
        <w:rPr>
          <w:rFonts w:hint="eastAsia" w:ascii="宋体" w:hAnsi="宋体" w:eastAsia="宋体" w:cs="宋体"/>
          <w:b w:val="0"/>
          <w:bCs w:val="0"/>
          <w:color w:val="auto"/>
          <w:sz w:val="24"/>
          <w:szCs w:val="24"/>
          <w:lang w:val="en-US" w:eastAsia="zh-CN"/>
        </w:rPr>
        <w:t>：正压式空气呼吸器、过滤式防毒面具、四合一检测仪（便携式，可检测常见有毒有害气体如一氧化碳、硫化氢、氨气 ，具备实时显示、报警功能 ，检测精度高、响应速度快 ）。</w:t>
      </w:r>
    </w:p>
    <w:p w14:paraId="6E7464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防护教育视频</w:t>
      </w:r>
      <w:r>
        <w:rPr>
          <w:rFonts w:hint="eastAsia" w:ascii="宋体" w:hAnsi="宋体" w:cs="宋体"/>
          <w:color w:val="auto"/>
          <w:sz w:val="24"/>
          <w:szCs w:val="24"/>
          <w:lang w:val="en-US" w:eastAsia="zh-CN"/>
        </w:rPr>
        <w:t>1套</w:t>
      </w:r>
      <w:r>
        <w:rPr>
          <w:rFonts w:hint="eastAsia" w:ascii="宋体" w:hAnsi="宋体" w:eastAsia="宋体" w:cs="宋体"/>
          <w:b w:val="0"/>
          <w:bCs w:val="0"/>
          <w:color w:val="auto"/>
          <w:sz w:val="24"/>
          <w:szCs w:val="24"/>
          <w:lang w:val="en-US" w:eastAsia="zh-CN"/>
        </w:rPr>
        <w:t>：围绕有毒有害气体防护展开，包含有毒有害气体的分类、危害、预防措施，同时可融入案例教学，通过实际事故案例强化教育效果。视频时长5 - 15分钟，分辨率≥1920×1080，画面清晰、色彩正常，音频清晰、无杂音，视频格式为常用格式如MP4。</w:t>
      </w:r>
    </w:p>
    <w:p w14:paraId="717429EA">
      <w:pPr>
        <w:pStyle w:val="4"/>
        <w:keepNext/>
        <w:keepLines/>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b/>
          <w:color w:val="auto"/>
          <w:kern w:val="2"/>
          <w:sz w:val="28"/>
          <w:szCs w:val="28"/>
          <w:lang w:val="en-US" w:eastAsia="zh-CN" w:bidi="ar-SA"/>
        </w:rPr>
      </w:pPr>
      <w:bookmarkStart w:id="238" w:name="_Toc13711"/>
      <w:bookmarkStart w:id="239" w:name="_Toc20003"/>
      <w:bookmarkStart w:id="240" w:name="_Toc8590"/>
      <w:r>
        <w:rPr>
          <w:rFonts w:hint="eastAsia" w:ascii="宋体" w:hAnsi="宋体" w:eastAsia="宋体" w:cs="宋体"/>
          <w:b/>
          <w:color w:val="auto"/>
          <w:kern w:val="2"/>
          <w:sz w:val="28"/>
          <w:szCs w:val="22"/>
          <w:lang w:val="en-US" w:eastAsia="zh-CN" w:bidi="ar-SA"/>
        </w:rPr>
        <w:t>（三）</w:t>
      </w:r>
      <w:r>
        <w:rPr>
          <w:rFonts w:hint="eastAsia" w:ascii="宋体" w:hAnsi="宋体" w:eastAsia="宋体" w:cs="宋体"/>
          <w:b/>
          <w:color w:val="auto"/>
          <w:kern w:val="2"/>
          <w:sz w:val="28"/>
          <w:szCs w:val="28"/>
          <w:lang w:val="en-US" w:eastAsia="zh-CN" w:bidi="ar-SA"/>
        </w:rPr>
        <w:t>模拟灭火体验设施</w:t>
      </w:r>
      <w:bookmarkEnd w:id="238"/>
      <w:bookmarkEnd w:id="239"/>
      <w:bookmarkEnd w:id="240"/>
    </w:p>
    <w:p w14:paraId="17C6CD7C">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3.1.</w:t>
      </w:r>
      <w:r>
        <w:rPr>
          <w:rFonts w:hint="eastAsia" w:ascii="宋体" w:hAnsi="宋体" w:eastAsia="宋体" w:cs="宋体"/>
          <w:color w:val="auto"/>
          <w:sz w:val="24"/>
          <w:szCs w:val="24"/>
          <w:lang w:val="en-US" w:eastAsia="zh-CN"/>
        </w:rPr>
        <w:t>功能概述</w:t>
      </w:r>
    </w:p>
    <w:p w14:paraId="5E6728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用创新性的虚拟现实交互技术、图像识别及体感技术、灭火器操作采集感知技术、计算机多媒体技术开发设计。系统是通过计算机主机、显示设备以及电子互动配套设备三部分共同组成，包括模拟灭火器及显示装置，模拟灭火器设有光发射装置、光控制开关以及感应接收处理器，光发射装置、光控制开关以及感应接收处理器电气连接；显示装置内设有主控制器、场景选择按钮、距离传感器、捕捉识别设备和处理器，场景选择按钮连接主控制器使显示装置展示相应的火灾场景，距离传感器与感应接收处理器无线连接，感测模拟灭火器与显示装置的距离。支持对灭火器使用方式、类型选择、灭火姿势、风向判断、灭火距离进行计算机自动评分；支持干粉灭火器、泡沫灭火器、二氧化碳灭火器、水基灭火器不同类型的选择。</w:t>
      </w:r>
    </w:p>
    <w:p w14:paraId="1C1190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通过模拟不同类型的火灾场景，让体验者学习火灾初期的识别、报警、疏散和初期灭火技能，提高应对火灾的应急反应能力和自救互救能力。</w:t>
      </w:r>
    </w:p>
    <w:p w14:paraId="4E57E154">
      <w:pPr>
        <w:pStyle w:val="4"/>
        <w:keepNext/>
        <w:keepLines/>
        <w:pageBreakBefore w:val="0"/>
        <w:widowControl w:val="0"/>
        <w:numPr>
          <w:ilvl w:val="2"/>
          <w:numId w:val="0"/>
        </w:numPr>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b/>
          <w:color w:val="auto"/>
          <w:kern w:val="2"/>
          <w:sz w:val="24"/>
          <w:szCs w:val="24"/>
          <w:lang w:val="en-US" w:eastAsia="zh-CN" w:bidi="ar-SA"/>
        </w:rPr>
        <w:t>3.2.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lang w:val="en-US" w:eastAsia="zh-CN"/>
        </w:rPr>
        <w:t>主要参数</w:t>
      </w:r>
    </w:p>
    <w:p w14:paraId="3AA396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智能控制终端</w:t>
      </w:r>
      <w:r>
        <w:rPr>
          <w:rFonts w:hint="eastAsia" w:ascii="宋体" w:hAnsi="宋体" w:cs="宋体"/>
          <w:b w:val="0"/>
          <w:bCs w:val="0"/>
          <w:color w:val="auto"/>
          <w:sz w:val="24"/>
          <w:szCs w:val="24"/>
          <w:lang w:val="en-US" w:eastAsia="zh-CN"/>
        </w:rPr>
        <w:t>1套：</w:t>
      </w:r>
      <w:r>
        <w:rPr>
          <w:rFonts w:hint="eastAsia" w:ascii="宋体" w:hAnsi="宋体" w:eastAsia="宋体" w:cs="宋体"/>
          <w:b w:val="0"/>
          <w:bCs w:val="0"/>
          <w:color w:val="auto"/>
          <w:sz w:val="24"/>
          <w:szCs w:val="24"/>
          <w:lang w:val="en-US" w:eastAsia="zh-CN"/>
        </w:rPr>
        <w:t>屏幕尺寸：≥55英寸；显示比例：16：9；分辨率：≥1920*1080触控形式：红外触摸屏幕；处理器：CPU：核心≥6，线程≥12，智能缓存≥18MB；运行内存：≥4GB；存储内存：≥128GB；专用壁挂架。</w:t>
      </w:r>
    </w:p>
    <w:p w14:paraId="5519BA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灭火器材机柜</w:t>
      </w:r>
      <w:r>
        <w:rPr>
          <w:rFonts w:hint="eastAsia" w:ascii="宋体" w:hAnsi="宋体" w:cs="宋体"/>
          <w:b w:val="0"/>
          <w:bCs w:val="0"/>
          <w:color w:val="auto"/>
          <w:sz w:val="24"/>
          <w:szCs w:val="24"/>
          <w:lang w:val="en-US" w:eastAsia="zh-CN"/>
        </w:rPr>
        <w:t>1套：</w:t>
      </w:r>
      <w:r>
        <w:rPr>
          <w:rFonts w:hint="eastAsia" w:ascii="宋体" w:hAnsi="宋体" w:eastAsia="宋体" w:cs="宋体"/>
          <w:b w:val="0"/>
          <w:bCs w:val="0"/>
          <w:color w:val="auto"/>
          <w:sz w:val="24"/>
          <w:szCs w:val="24"/>
          <w:lang w:val="en-US" w:eastAsia="zh-CN"/>
        </w:rPr>
        <w:t>尺寸：≥1000mm*700mm*770mm；颜色：红色/白色；材质：冷轧碳钢板/亚克力；表面工艺：烤漆；灯带颜色：白色/蓝色。</w:t>
      </w:r>
    </w:p>
    <w:p w14:paraId="22AF63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电子版灭火器</w:t>
      </w:r>
      <w:r>
        <w:rPr>
          <w:rFonts w:hint="eastAsia" w:ascii="宋体" w:hAnsi="宋体" w:cs="宋体"/>
          <w:b w:val="0"/>
          <w:bCs w:val="0"/>
          <w:color w:val="auto"/>
          <w:sz w:val="24"/>
          <w:szCs w:val="24"/>
          <w:lang w:val="en-US" w:eastAsia="zh-CN"/>
        </w:rPr>
        <w:t>1套</w:t>
      </w:r>
      <w:r>
        <w:rPr>
          <w:rFonts w:hint="eastAsia" w:ascii="宋体" w:hAnsi="宋体" w:eastAsia="宋体" w:cs="宋体"/>
          <w:b w:val="0"/>
          <w:bCs w:val="0"/>
          <w:color w:val="auto"/>
          <w:sz w:val="24"/>
          <w:szCs w:val="24"/>
          <w:lang w:val="en-US" w:eastAsia="zh-CN"/>
        </w:rPr>
        <w:t>：手提式3KG标准灭火器；种类：干粉、泡沫、二氧化碳、水基；触发类型：按压式开关；识别方式：无线蓝牙模块。</w:t>
      </w:r>
    </w:p>
    <w:p w14:paraId="591E36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电控系统</w:t>
      </w:r>
      <w:r>
        <w:rPr>
          <w:rFonts w:hint="eastAsia" w:ascii="宋体" w:hAnsi="宋体" w:cs="宋体"/>
          <w:b w:val="0"/>
          <w:bCs w:val="0"/>
          <w:color w:val="auto"/>
          <w:sz w:val="24"/>
          <w:szCs w:val="24"/>
          <w:lang w:val="en-US" w:eastAsia="zh-CN"/>
        </w:rPr>
        <w:t>1套</w:t>
      </w:r>
      <w:r>
        <w:rPr>
          <w:rFonts w:hint="eastAsia" w:ascii="宋体" w:hAnsi="宋体" w:eastAsia="宋体" w:cs="宋体"/>
          <w:b w:val="0"/>
          <w:bCs w:val="0"/>
          <w:color w:val="auto"/>
          <w:sz w:val="24"/>
          <w:szCs w:val="24"/>
          <w:lang w:val="en-US" w:eastAsia="zh-CN"/>
        </w:rPr>
        <w:t>：工控板模块，空气开关，交流接触器，电器辅料若干。</w:t>
      </w:r>
    </w:p>
    <w:p w14:paraId="3EF6BD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bCs/>
          <w:color w:val="auto"/>
          <w:sz w:val="44"/>
          <w:szCs w:val="52"/>
          <w:lang w:val="en-US" w:eastAsia="zh-CN"/>
        </w:rPr>
      </w:pPr>
      <w:r>
        <w:rPr>
          <w:rFonts w:hint="eastAsia" w:ascii="宋体" w:hAnsi="宋体" w:eastAsia="宋体" w:cs="宋体"/>
          <w:b w:val="0"/>
          <w:bCs w:val="0"/>
          <w:color w:val="auto"/>
          <w:sz w:val="24"/>
          <w:szCs w:val="24"/>
          <w:lang w:val="en-US" w:eastAsia="zh-CN"/>
        </w:rPr>
        <w:t>软件系统</w:t>
      </w:r>
      <w:r>
        <w:rPr>
          <w:rFonts w:hint="eastAsia" w:ascii="宋体" w:hAnsi="宋体" w:cs="宋体"/>
          <w:b w:val="0"/>
          <w:bCs w:val="0"/>
          <w:color w:val="auto"/>
          <w:sz w:val="24"/>
          <w:szCs w:val="24"/>
          <w:lang w:val="en-US" w:eastAsia="zh-CN"/>
        </w:rPr>
        <w:t>1套</w:t>
      </w:r>
      <w:r>
        <w:rPr>
          <w:rFonts w:hint="eastAsia" w:ascii="宋体" w:hAnsi="宋体" w:eastAsia="宋体" w:cs="宋体"/>
          <w:b w:val="0"/>
          <w:bCs w:val="0"/>
          <w:color w:val="auto"/>
          <w:sz w:val="24"/>
          <w:szCs w:val="24"/>
          <w:lang w:val="en-US" w:eastAsia="zh-CN"/>
        </w:rPr>
        <w:t>：模拟灭火场景包括但不限于宿舍火灾、仓库火灾、办公室火灾、工厂车间火灾、商场火灾场景，体验者可以通过工具柜上的选择按钮选择灭火场景，然后根据不同场景的火灾类型从四种灭火器选择一种进行灭火，通过无线动作捕捉技术，仿真3D火场，实施互动体验，营造真实的灭火扑救体验，提高火灾应对能力。</w:t>
      </w:r>
    </w:p>
    <w:p w14:paraId="4006D833">
      <w:pPr>
        <w:rPr>
          <w:color w:val="auto"/>
        </w:rPr>
      </w:pPr>
    </w:p>
    <w:p w14:paraId="6B6756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p>
    <w:p w14:paraId="230974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p>
    <w:p w14:paraId="1EEAC548">
      <w:pPr>
        <w:pStyle w:val="22"/>
        <w:rPr>
          <w:rFonts w:hint="eastAsia"/>
          <w:lang w:val="en-US" w:eastAsia="zh-CN"/>
        </w:rPr>
      </w:pPr>
    </w:p>
    <w:p w14:paraId="3B21E72D">
      <w:pPr>
        <w:pStyle w:val="22"/>
        <w:rPr>
          <w:rFonts w:hint="eastAsia" w:ascii="宋体" w:hAnsi="宋体" w:eastAsia="宋体" w:cs="宋体"/>
          <w:b w:val="0"/>
          <w:bCs w:val="0"/>
          <w:color w:val="auto"/>
          <w:sz w:val="24"/>
          <w:szCs w:val="24"/>
          <w:highlight w:val="none"/>
          <w:lang w:val="en-US" w:eastAsia="zh-CN"/>
        </w:rPr>
      </w:pPr>
    </w:p>
    <w:p w14:paraId="2A761239">
      <w:pPr>
        <w:rPr>
          <w:rFonts w:hint="eastAsia" w:ascii="宋体" w:hAnsi="宋体" w:eastAsia="宋体" w:cs="宋体"/>
          <w:b w:val="0"/>
          <w:bCs w:val="0"/>
          <w:color w:val="auto"/>
          <w:sz w:val="24"/>
          <w:szCs w:val="24"/>
          <w:highlight w:val="none"/>
          <w:lang w:val="en-US" w:eastAsia="zh-CN"/>
        </w:rPr>
      </w:pPr>
    </w:p>
    <w:p w14:paraId="33E51EFE">
      <w:pPr>
        <w:pStyle w:val="22"/>
        <w:rPr>
          <w:rFonts w:hint="eastAsia" w:ascii="宋体" w:hAnsi="宋体" w:eastAsia="宋体" w:cs="宋体"/>
          <w:b w:val="0"/>
          <w:bCs w:val="0"/>
          <w:color w:val="auto"/>
          <w:sz w:val="24"/>
          <w:szCs w:val="24"/>
          <w:highlight w:val="none"/>
          <w:lang w:val="en-US" w:eastAsia="zh-CN"/>
        </w:rPr>
      </w:pPr>
    </w:p>
    <w:p w14:paraId="0D935874">
      <w:pPr>
        <w:rPr>
          <w:rFonts w:hint="eastAsia" w:ascii="宋体" w:hAnsi="宋体" w:eastAsia="宋体" w:cs="宋体"/>
          <w:b w:val="0"/>
          <w:bCs w:val="0"/>
          <w:color w:val="auto"/>
          <w:sz w:val="24"/>
          <w:szCs w:val="24"/>
          <w:highlight w:val="none"/>
          <w:lang w:val="en-US" w:eastAsia="zh-CN"/>
        </w:rPr>
      </w:pPr>
    </w:p>
    <w:p w14:paraId="0EFE2431">
      <w:pPr>
        <w:pStyle w:val="22"/>
        <w:rPr>
          <w:rFonts w:hint="eastAsia" w:ascii="宋体" w:hAnsi="宋体" w:eastAsia="宋体" w:cs="宋体"/>
          <w:b w:val="0"/>
          <w:bCs w:val="0"/>
          <w:color w:val="auto"/>
          <w:sz w:val="24"/>
          <w:szCs w:val="24"/>
          <w:highlight w:val="none"/>
          <w:lang w:val="en-US" w:eastAsia="zh-CN"/>
        </w:rPr>
      </w:pPr>
    </w:p>
    <w:p w14:paraId="6EE8FCBF">
      <w:pPr>
        <w:rPr>
          <w:rFonts w:hint="eastAsia" w:ascii="宋体" w:hAnsi="宋体" w:eastAsia="宋体" w:cs="宋体"/>
          <w:b w:val="0"/>
          <w:bCs w:val="0"/>
          <w:color w:val="auto"/>
          <w:sz w:val="24"/>
          <w:szCs w:val="24"/>
          <w:highlight w:val="none"/>
          <w:lang w:val="en-US" w:eastAsia="zh-CN"/>
        </w:rPr>
      </w:pPr>
    </w:p>
    <w:p w14:paraId="704CDFFE">
      <w:pPr>
        <w:pStyle w:val="22"/>
        <w:rPr>
          <w:rFonts w:hint="eastAsia" w:ascii="宋体" w:hAnsi="宋体" w:eastAsia="宋体" w:cs="宋体"/>
          <w:b w:val="0"/>
          <w:bCs w:val="0"/>
          <w:color w:val="auto"/>
          <w:sz w:val="24"/>
          <w:szCs w:val="24"/>
          <w:highlight w:val="none"/>
          <w:lang w:val="en-US" w:eastAsia="zh-CN"/>
        </w:rPr>
      </w:pPr>
    </w:p>
    <w:p w14:paraId="3B1B60C0">
      <w:pPr>
        <w:pStyle w:val="2"/>
        <w:bidi w:val="0"/>
        <w:jc w:val="center"/>
        <w:outlineLvl w:val="0"/>
        <w:rPr>
          <w:rFonts w:hint="eastAsia" w:ascii="宋体" w:hAnsi="宋体" w:eastAsia="宋体" w:cs="宋体"/>
          <w:color w:val="auto"/>
          <w:lang w:val="en-US" w:eastAsia="zh-CN"/>
        </w:rPr>
      </w:pPr>
      <w:bookmarkStart w:id="241" w:name="_Toc26351"/>
      <w:r>
        <w:rPr>
          <w:rFonts w:hint="eastAsia" w:ascii="宋体" w:hAnsi="宋体" w:eastAsia="宋体" w:cs="宋体"/>
          <w:color w:val="auto"/>
          <w:lang w:val="en-US" w:eastAsia="zh-CN"/>
        </w:rPr>
        <w:t xml:space="preserve">第三篇  </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Pr>
          <w:rFonts w:hint="eastAsia" w:ascii="宋体" w:hAnsi="宋体" w:eastAsia="宋体" w:cs="宋体"/>
          <w:color w:val="auto"/>
          <w:lang w:val="en-US" w:eastAsia="zh-CN"/>
        </w:rPr>
        <w:t>项目商务需求</w:t>
      </w:r>
      <w:bookmarkEnd w:id="209"/>
      <w:bookmarkEnd w:id="241"/>
    </w:p>
    <w:p w14:paraId="63FAADA7">
      <w:pPr>
        <w:snapToGrid w:val="0"/>
        <w:spacing w:line="400" w:lineRule="exact"/>
        <w:ind w:firstLine="480" w:firstLineChars="200"/>
        <w:rPr>
          <w:rFonts w:hint="eastAsia" w:ascii="宋体" w:hAnsi="宋体" w:eastAsia="宋体" w:cs="宋体"/>
          <w:color w:val="auto"/>
          <w:kern w:val="0"/>
          <w:sz w:val="24"/>
          <w:szCs w:val="24"/>
        </w:rPr>
      </w:pPr>
      <w:bookmarkStart w:id="242" w:name="_Toc267320049"/>
      <w:r>
        <w:rPr>
          <w:rFonts w:hint="eastAsia" w:ascii="宋体" w:hAnsi="宋体" w:eastAsia="宋体" w:cs="宋体"/>
          <w:color w:val="auto"/>
          <w:sz w:val="24"/>
          <w:szCs w:val="28"/>
        </w:rPr>
        <w:t>“</w:t>
      </w:r>
      <w:r>
        <w:rPr>
          <w:rFonts w:hint="eastAsia" w:ascii="宋体" w:hAnsi="宋体" w:eastAsia="宋体" w:cs="宋体"/>
          <w:color w:val="auto"/>
          <w:kern w:val="0"/>
          <w:sz w:val="21"/>
          <w:szCs w:val="21"/>
        </w:rPr>
        <w:t>※</w:t>
      </w:r>
      <w:r>
        <w:rPr>
          <w:rFonts w:hint="eastAsia" w:ascii="宋体" w:hAnsi="宋体" w:eastAsia="宋体" w:cs="宋体"/>
          <w:color w:val="auto"/>
          <w:sz w:val="24"/>
          <w:szCs w:val="28"/>
        </w:rPr>
        <w:t>”标注的商务要求为符合性审查中的实质性要求，若不满足按无效投标处理。</w:t>
      </w:r>
    </w:p>
    <w:p w14:paraId="280D0F97">
      <w:pPr>
        <w:pStyle w:val="3"/>
        <w:spacing w:line="400" w:lineRule="exact"/>
        <w:ind w:firstLine="480" w:firstLineChars="200"/>
        <w:rPr>
          <w:rFonts w:hint="eastAsia" w:ascii="宋体" w:hAnsi="宋体" w:eastAsia="宋体" w:cs="宋体"/>
          <w:b/>
          <w:color w:val="auto"/>
          <w:sz w:val="24"/>
          <w:szCs w:val="24"/>
        </w:rPr>
      </w:pPr>
      <w:bookmarkStart w:id="243" w:name="_Toc23501"/>
      <w:bookmarkStart w:id="244" w:name="_Toc21429"/>
      <w:bookmarkStart w:id="245" w:name="_Toc14029"/>
      <w:bookmarkStart w:id="246" w:name="_Toc13389"/>
      <w:bookmarkStart w:id="247" w:name="_Toc9676"/>
      <w:bookmarkStart w:id="248" w:name="_Toc11380"/>
      <w:bookmarkStart w:id="249" w:name="_Toc28521"/>
      <w:bookmarkStart w:id="250" w:name="_Toc13728"/>
      <w:bookmarkStart w:id="251" w:name="_Toc75793509"/>
      <w:bookmarkStart w:id="252" w:name="_Toc10039"/>
      <w:bookmarkStart w:id="253" w:name="_Toc22944"/>
      <w:bookmarkStart w:id="254" w:name="_Toc12768"/>
      <w:bookmarkStart w:id="255" w:name="_Toc6595"/>
      <w:bookmarkStart w:id="256" w:name="_Toc30205"/>
      <w:bookmarkStart w:id="257" w:name="_Toc30118"/>
      <w:bookmarkStart w:id="258" w:name="_Toc8752"/>
      <w:bookmarkStart w:id="259" w:name="_Toc12526"/>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一、交货期、交货地点及验收方式</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0C138931">
      <w:pPr>
        <w:snapToGrid w:val="0"/>
        <w:spacing w:line="400" w:lineRule="exact"/>
        <w:ind w:firstLine="480" w:firstLineChars="200"/>
        <w:outlineLvl w:val="2"/>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（一）交货期</w:t>
      </w:r>
    </w:p>
    <w:p w14:paraId="1AD11767">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中标人应在采购合同签订后</w:t>
      </w:r>
      <w:r>
        <w:rPr>
          <w:rFonts w:hint="eastAsia" w:ascii="宋体" w:hAnsi="宋体" w:eastAsia="宋体" w:cs="宋体"/>
          <w:color w:val="auto"/>
          <w:kern w:val="0"/>
          <w:sz w:val="24"/>
          <w:szCs w:val="24"/>
          <w:lang w:val="en-US" w:eastAsia="zh-CN"/>
        </w:rPr>
        <w:t>60</w:t>
      </w:r>
      <w:r>
        <w:rPr>
          <w:rFonts w:hint="eastAsia" w:ascii="宋体" w:hAnsi="宋体" w:eastAsia="宋体" w:cs="宋体"/>
          <w:color w:val="auto"/>
          <w:kern w:val="0"/>
          <w:sz w:val="24"/>
          <w:szCs w:val="24"/>
        </w:rPr>
        <w:t>个日历日内交货并完成安装调试</w:t>
      </w:r>
      <w:r>
        <w:rPr>
          <w:rFonts w:hint="eastAsia" w:ascii="宋体" w:hAnsi="宋体" w:eastAsia="宋体" w:cs="宋体"/>
          <w:color w:val="auto"/>
          <w:kern w:val="0"/>
          <w:sz w:val="24"/>
          <w:szCs w:val="24"/>
          <w:lang w:eastAsia="zh-CN"/>
        </w:rPr>
        <w:t>完成</w:t>
      </w:r>
      <w:r>
        <w:rPr>
          <w:rFonts w:hint="eastAsia" w:ascii="宋体" w:hAnsi="宋体" w:eastAsia="宋体" w:cs="宋体"/>
          <w:color w:val="auto"/>
          <w:kern w:val="0"/>
          <w:sz w:val="24"/>
          <w:szCs w:val="24"/>
        </w:rPr>
        <w:t>。</w:t>
      </w:r>
    </w:p>
    <w:p w14:paraId="3D7D1F86">
      <w:pPr>
        <w:snapToGrid w:val="0"/>
        <w:spacing w:line="400" w:lineRule="exact"/>
        <w:ind w:firstLine="480" w:firstLineChars="200"/>
        <w:outlineLvl w:val="2"/>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（二）交货地点</w:t>
      </w:r>
    </w:p>
    <w:p w14:paraId="1F4E9C62">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交货地点：</w:t>
      </w:r>
      <w:r>
        <w:rPr>
          <w:rFonts w:hint="eastAsia" w:ascii="宋体" w:hAnsi="宋体" w:eastAsia="宋体" w:cs="宋体"/>
          <w:color w:val="auto"/>
          <w:kern w:val="0"/>
          <w:sz w:val="24"/>
          <w:szCs w:val="24"/>
          <w:lang w:eastAsia="zh-CN"/>
        </w:rPr>
        <w:t>重庆化工职业学院</w:t>
      </w:r>
      <w:r>
        <w:rPr>
          <w:rFonts w:hint="eastAsia" w:ascii="宋体" w:hAnsi="宋体" w:eastAsia="宋体" w:cs="宋体"/>
          <w:color w:val="auto"/>
          <w:kern w:val="0"/>
          <w:sz w:val="24"/>
          <w:szCs w:val="24"/>
        </w:rPr>
        <w:t>。</w:t>
      </w:r>
    </w:p>
    <w:p w14:paraId="20C38D91">
      <w:pPr>
        <w:snapToGrid w:val="0"/>
        <w:spacing w:line="400" w:lineRule="exact"/>
        <w:ind w:firstLine="480" w:firstLineChars="200"/>
        <w:outlineLvl w:val="2"/>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（三）验收方式</w:t>
      </w:r>
    </w:p>
    <w:p w14:paraId="2A4D8813">
      <w:pPr>
        <w:spacing w:line="400" w:lineRule="exact"/>
        <w:ind w:firstLine="480" w:firstLineChars="200"/>
        <w:rPr>
          <w:rFonts w:hint="eastAsia" w:ascii="宋体" w:hAnsi="宋体" w:eastAsia="宋体" w:cs="宋体"/>
          <w:color w:val="auto"/>
          <w:sz w:val="24"/>
          <w:szCs w:val="24"/>
        </w:rPr>
      </w:pPr>
      <w:bookmarkStart w:id="260" w:name="_Toc29436"/>
      <w:bookmarkStart w:id="261" w:name="_Toc21022"/>
      <w:bookmarkStart w:id="262" w:name="_Toc20367"/>
      <w:bookmarkStart w:id="263" w:name="_Toc22158"/>
      <w:bookmarkStart w:id="264" w:name="_Toc1484"/>
      <w:bookmarkStart w:id="265" w:name="_Toc7746"/>
      <w:bookmarkStart w:id="266" w:name="_Toc28679"/>
      <w:bookmarkStart w:id="267" w:name="_Toc30781"/>
      <w:bookmarkStart w:id="268" w:name="_Toc4036"/>
      <w:bookmarkStart w:id="269" w:name="_Toc22142"/>
      <w:bookmarkStart w:id="270" w:name="_Toc29144"/>
      <w:bookmarkStart w:id="271" w:name="_Toc18152"/>
      <w:bookmarkStart w:id="272" w:name="_Toc8592"/>
      <w:bookmarkStart w:id="273" w:name="_Toc75793510"/>
      <w:bookmarkStart w:id="274" w:name="_Toc13418"/>
      <w:bookmarkStart w:id="275" w:name="_Toc267320050"/>
      <w:r>
        <w:rPr>
          <w:rFonts w:hint="eastAsia" w:ascii="宋体" w:hAnsi="宋体" w:eastAsia="宋体" w:cs="宋体"/>
          <w:color w:val="auto"/>
          <w:sz w:val="24"/>
          <w:szCs w:val="24"/>
        </w:rPr>
        <w:t>1.货物到达现场后，</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应在采购人在场情况下当面开箱，共同清点、检查外观，作出开箱记录，双方签字确认；</w:t>
      </w:r>
    </w:p>
    <w:p w14:paraId="31336CD0">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应保证货物到达采购人所在地完好无损，如有缺漏、损坏，由</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负责调换、补齐或赔偿；</w:t>
      </w:r>
    </w:p>
    <w:p w14:paraId="7F47D92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应提供完备的技术资料、产品使用说明书等，产品包装应符合《商品包装政府采购需求标准（试行）》、 《快递包装政府采购需求标准（试行）》的通知（财办库〔2020〕123号）的要求,并派遣专业技术人员进行现场安装调试。验收合格条件如下：</w:t>
      </w:r>
    </w:p>
    <w:p w14:paraId="047F7F4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验收合格条件如下：</w:t>
      </w:r>
    </w:p>
    <w:p w14:paraId="67BCF806">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（1）设备技术参数与采购合同一致，性能指标达到规定的标准；</w:t>
      </w:r>
    </w:p>
    <w:p w14:paraId="72AEC76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（2）货物技术资料、装箱单、合格证等资料齐全；</w:t>
      </w:r>
    </w:p>
    <w:p w14:paraId="322B52D9">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（3）在系统运行期间所出现的问题得到解决，并运行正常；</w:t>
      </w:r>
    </w:p>
    <w:p w14:paraId="78FB5A1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（4）在规定时间内完成交货，并经采购人确认；</w:t>
      </w:r>
    </w:p>
    <w:p w14:paraId="42513343">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4.本项目为交钥匙工程，产品在安装调试符合要求后，才作为最终验收；</w:t>
      </w:r>
    </w:p>
    <w:p w14:paraId="08C50B4F">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提供的货物未达到招标文件规定要求，且对采购人造成损失的，由</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承担一切责任，并赔偿所造成的损失；</w:t>
      </w:r>
    </w:p>
    <w:p w14:paraId="2E398A13">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6.采购人需要制造商对</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交付的产品（包括质量、技术参数等）进行确认的，制造商应予以配合，并出具书面意见；</w:t>
      </w:r>
    </w:p>
    <w:p w14:paraId="285F591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7.仪器安装、验收；仪器安装、验收必须由</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安排技术人员到现场安装仪器并在采购人在场的情况下完成仪器设备性能的测试；</w:t>
      </w:r>
    </w:p>
    <w:p w14:paraId="1A4B425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8.产品包装材料归采购人所有；</w:t>
      </w:r>
    </w:p>
    <w:p w14:paraId="16658B2F">
      <w:pPr>
        <w:pStyle w:val="3"/>
        <w:spacing w:line="400" w:lineRule="exact"/>
        <w:ind w:firstLine="480" w:firstLineChars="200"/>
        <w:rPr>
          <w:rFonts w:hint="eastAsia" w:ascii="宋体" w:hAnsi="宋体" w:eastAsia="宋体" w:cs="宋体"/>
          <w:b/>
          <w:color w:val="auto"/>
          <w:sz w:val="24"/>
          <w:szCs w:val="24"/>
        </w:rPr>
      </w:pPr>
      <w:bookmarkStart w:id="276" w:name="_Toc3088"/>
      <w:bookmarkStart w:id="277" w:name="_Toc21086"/>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二、报价要求</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6"/>
      <w:bookmarkEnd w:id="277"/>
    </w:p>
    <w:p w14:paraId="50BFD2CA">
      <w:pPr>
        <w:spacing w:line="400" w:lineRule="exact"/>
        <w:ind w:firstLine="480" w:firstLineChars="200"/>
        <w:rPr>
          <w:rFonts w:hint="eastAsia" w:ascii="宋体" w:hAnsi="宋体" w:eastAsia="宋体" w:cs="宋体"/>
          <w:color w:val="auto"/>
          <w:sz w:val="24"/>
          <w:szCs w:val="24"/>
        </w:rPr>
      </w:pPr>
      <w:bookmarkStart w:id="278" w:name="_Toc16693"/>
      <w:bookmarkStart w:id="279" w:name="_Toc20887"/>
      <w:bookmarkStart w:id="280" w:name="_Toc1450"/>
      <w:bookmarkStart w:id="281" w:name="_Toc75793511"/>
      <w:bookmarkStart w:id="282" w:name="_Toc32313"/>
      <w:bookmarkStart w:id="283" w:name="_Toc2244"/>
      <w:bookmarkStart w:id="284" w:name="_Toc14177"/>
      <w:bookmarkStart w:id="285" w:name="_Toc27382"/>
      <w:bookmarkStart w:id="286" w:name="_Toc4252"/>
      <w:bookmarkStart w:id="287" w:name="_Toc4774"/>
      <w:bookmarkStart w:id="288" w:name="_Toc15677"/>
      <w:bookmarkStart w:id="289" w:name="_Toc15096"/>
      <w:bookmarkStart w:id="290" w:name="_Toc3465"/>
      <w:bookmarkStart w:id="291" w:name="_Toc23903"/>
      <w:bookmarkStart w:id="292" w:name="_Toc2821"/>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报价应包含产品到采购人指定地点且达到预定可使用状态的全部费用，包括且不限于：产品价、运输费（含装卸费）、保险费、安装调试费、税费、培训费等货到采购人指定地点的所有费用；</w:t>
      </w:r>
    </w:p>
    <w:p w14:paraId="34E102AD">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因中标人自身原因造成漏报、少报皆由其自行承担责任，采购人不再补偿。</w:t>
      </w:r>
    </w:p>
    <w:p w14:paraId="741BE565">
      <w:pPr>
        <w:pStyle w:val="3"/>
        <w:spacing w:line="400" w:lineRule="exact"/>
        <w:ind w:firstLine="480" w:firstLineChars="200"/>
        <w:rPr>
          <w:rFonts w:hint="eastAsia" w:ascii="宋体" w:hAnsi="宋体" w:eastAsia="宋体" w:cs="宋体"/>
          <w:b/>
          <w:color w:val="auto"/>
          <w:sz w:val="24"/>
          <w:szCs w:val="24"/>
        </w:rPr>
      </w:pPr>
      <w:bookmarkStart w:id="293" w:name="_Toc7844"/>
      <w:bookmarkStart w:id="294" w:name="_Toc15540"/>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三、质量保证及售后服务</w:t>
      </w:r>
      <w:bookmarkEnd w:id="275"/>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2FA6B04B">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（一）产品质量保证期：</w:t>
      </w:r>
      <w:r>
        <w:rPr>
          <w:rFonts w:hint="eastAsia" w:ascii="宋体" w:hAnsi="宋体" w:eastAsia="宋体" w:cs="宋体"/>
          <w:color w:val="auto"/>
          <w:sz w:val="24"/>
          <w:szCs w:val="24"/>
        </w:rPr>
        <w:t>自验收合格之日起，</w:t>
      </w:r>
      <w:r>
        <w:rPr>
          <w:rFonts w:hint="eastAsia" w:ascii="宋体" w:hAnsi="宋体" w:eastAsia="宋体" w:cs="宋体"/>
          <w:color w:val="auto"/>
          <w:kern w:val="0"/>
          <w:sz w:val="24"/>
          <w:szCs w:val="24"/>
        </w:rPr>
        <w:t>其投标产品质量保证期</w:t>
      </w:r>
      <w:r>
        <w:rPr>
          <w:rFonts w:hint="eastAsia" w:ascii="宋体" w:hAnsi="宋体" w:eastAsia="宋体" w:cs="宋体"/>
          <w:color w:val="auto"/>
          <w:kern w:val="0"/>
          <w:sz w:val="24"/>
          <w:szCs w:val="24"/>
          <w:lang w:val="en-US" w:eastAsia="zh-CN"/>
        </w:rPr>
        <w:t>不少于1</w:t>
      </w:r>
      <w:r>
        <w:rPr>
          <w:rFonts w:hint="eastAsia" w:ascii="宋体" w:hAnsi="宋体" w:eastAsia="宋体" w:cs="宋体"/>
          <w:color w:val="auto"/>
          <w:kern w:val="0"/>
          <w:sz w:val="24"/>
          <w:szCs w:val="24"/>
        </w:rPr>
        <w:t>年。</w:t>
      </w:r>
    </w:p>
    <w:p w14:paraId="64899CAC">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（二）售后服务内容</w:t>
      </w:r>
    </w:p>
    <w:p w14:paraId="3D7DB26B">
      <w:pPr>
        <w:snapToGrid w:val="0"/>
        <w:spacing w:line="400" w:lineRule="exact"/>
        <w:ind w:firstLine="480" w:firstLineChars="200"/>
        <w:outlineLvl w:val="2"/>
        <w:rPr>
          <w:rFonts w:hint="eastAsia" w:ascii="宋体" w:hAnsi="宋体" w:eastAsia="宋体" w:cs="宋体"/>
          <w:color w:val="auto"/>
          <w:kern w:val="0"/>
          <w:sz w:val="24"/>
          <w:szCs w:val="24"/>
        </w:rPr>
      </w:pPr>
      <w:bookmarkStart w:id="295" w:name="_Toc5174"/>
      <w:bookmarkStart w:id="296" w:name="_Toc75793512"/>
      <w:bookmarkStart w:id="297" w:name="_Toc21888"/>
      <w:bookmarkStart w:id="298" w:name="_Toc29286"/>
      <w:bookmarkStart w:id="299" w:name="_Toc25932"/>
      <w:bookmarkStart w:id="300" w:name="_Toc19350"/>
      <w:bookmarkStart w:id="301" w:name="_Toc25552"/>
      <w:bookmarkStart w:id="302" w:name="_Toc267320051"/>
      <w:bookmarkStart w:id="303" w:name="_Toc25745"/>
      <w:bookmarkStart w:id="304" w:name="_Toc32722"/>
      <w:bookmarkStart w:id="305" w:name="_Toc12285"/>
      <w:bookmarkStart w:id="306" w:name="_Toc1008"/>
      <w:bookmarkStart w:id="307" w:name="_Toc8955"/>
      <w:bookmarkStart w:id="308" w:name="_Toc22695"/>
      <w:bookmarkStart w:id="309" w:name="_Toc18007"/>
      <w:bookmarkStart w:id="310" w:name="_Toc30442"/>
      <w:r>
        <w:rPr>
          <w:rFonts w:hint="eastAsia" w:ascii="宋体" w:hAnsi="宋体" w:eastAsia="宋体" w:cs="宋体"/>
          <w:color w:val="auto"/>
          <w:kern w:val="0"/>
          <w:sz w:val="24"/>
          <w:szCs w:val="24"/>
        </w:rPr>
        <w:t>1.投标人在质量保证期内应当为采购人提供以下技术支持和服务：</w:t>
      </w:r>
    </w:p>
    <w:p w14:paraId="68DFC9C1">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1.1电话咨询</w:t>
      </w:r>
    </w:p>
    <w:p w14:paraId="47DBA921">
      <w:pPr>
        <w:snapToGrid w:val="0"/>
        <w:spacing w:line="40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投标人应当为采购人提供技术援助电话，解答采购人在使用中遇到的问题，及时为采购人提出解决问题的建议。</w:t>
      </w:r>
      <w:r>
        <w:rPr>
          <w:rFonts w:hint="eastAsia" w:ascii="宋体" w:hAnsi="宋体" w:eastAsia="宋体" w:cs="宋体"/>
          <w:color w:val="auto"/>
          <w:sz w:val="24"/>
          <w:szCs w:val="24"/>
        </w:rPr>
        <w:t>提供详细的售后联系方式，包括电话联系方式、网络联系方式</w:t>
      </w:r>
      <w:r>
        <w:rPr>
          <w:rFonts w:hint="eastAsia" w:ascii="宋体" w:hAnsi="宋体" w:eastAsia="宋体" w:cs="宋体"/>
          <w:color w:val="auto"/>
          <w:sz w:val="24"/>
          <w:szCs w:val="24"/>
          <w:lang w:eastAsia="zh-CN"/>
        </w:rPr>
        <w:t>。</w:t>
      </w:r>
    </w:p>
    <w:p w14:paraId="73E6A4AA">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1.2现场响应</w:t>
      </w:r>
    </w:p>
    <w:p w14:paraId="45D13048">
      <w:pPr>
        <w:snapToGrid w:val="0"/>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采购人遇到使用及技术问题，电话咨询不能解决的，投标人应在</w:t>
      </w:r>
      <w:r>
        <w:rPr>
          <w:rFonts w:hint="eastAsia" w:ascii="宋体" w:hAnsi="宋体" w:eastAsia="宋体" w:cs="宋体"/>
          <w:color w:val="auto"/>
          <w:kern w:val="0"/>
          <w:sz w:val="24"/>
          <w:szCs w:val="24"/>
          <w:lang w:val="en-US" w:eastAsia="zh-CN"/>
        </w:rPr>
        <w:t>24</w:t>
      </w:r>
      <w:r>
        <w:rPr>
          <w:rFonts w:hint="eastAsia" w:ascii="宋体" w:hAnsi="宋体" w:eastAsia="宋体" w:cs="宋体"/>
          <w:color w:val="auto"/>
          <w:kern w:val="0"/>
          <w:sz w:val="24"/>
          <w:szCs w:val="24"/>
        </w:rPr>
        <w:t>小时内到达现场进行处理，确保产品正常工作；无法在</w:t>
      </w:r>
      <w:r>
        <w:rPr>
          <w:rFonts w:hint="eastAsia" w:ascii="宋体" w:hAnsi="宋体" w:eastAsia="宋体" w:cs="宋体"/>
          <w:color w:val="auto"/>
          <w:kern w:val="0"/>
          <w:sz w:val="24"/>
          <w:szCs w:val="24"/>
          <w:lang w:val="en-US" w:eastAsia="zh-CN"/>
        </w:rPr>
        <w:t>24</w:t>
      </w:r>
      <w:r>
        <w:rPr>
          <w:rFonts w:hint="eastAsia" w:ascii="宋体" w:hAnsi="宋体" w:eastAsia="宋体" w:cs="宋体"/>
          <w:color w:val="auto"/>
          <w:kern w:val="0"/>
          <w:sz w:val="24"/>
          <w:szCs w:val="24"/>
        </w:rPr>
        <w:t>小时内解决的，应在</w:t>
      </w:r>
      <w:r>
        <w:rPr>
          <w:rFonts w:hint="eastAsia" w:ascii="宋体" w:hAnsi="宋体" w:eastAsia="宋体" w:cs="宋体"/>
          <w:color w:val="auto"/>
          <w:kern w:val="0"/>
          <w:sz w:val="24"/>
          <w:szCs w:val="24"/>
          <w:lang w:val="en-US" w:eastAsia="zh-CN"/>
        </w:rPr>
        <w:t>48</w:t>
      </w:r>
      <w:r>
        <w:rPr>
          <w:rFonts w:hint="eastAsia" w:ascii="宋体" w:hAnsi="宋体" w:eastAsia="宋体" w:cs="宋体"/>
          <w:color w:val="auto"/>
          <w:kern w:val="0"/>
          <w:sz w:val="24"/>
          <w:szCs w:val="24"/>
        </w:rPr>
        <w:t>小时内提供备用产品，使采购人能够正常使用。</w:t>
      </w:r>
    </w:p>
    <w:p w14:paraId="2915FEAD">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1.3技术升级</w:t>
      </w:r>
    </w:p>
    <w:p w14:paraId="13F24CDA">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在质保期内，如果投标人的产品技术升级，投标人应及时通知采购人，如采购人有相应要求，投标人应对采购人购买的产品进行升级服务。</w:t>
      </w:r>
    </w:p>
    <w:p w14:paraId="55F83C6B">
      <w:pPr>
        <w:snapToGrid w:val="0"/>
        <w:spacing w:line="400" w:lineRule="exact"/>
        <w:ind w:firstLine="480" w:firstLineChars="200"/>
        <w:outlineLvl w:val="2"/>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2.质保期外服务要求</w:t>
      </w:r>
    </w:p>
    <w:p w14:paraId="774D92AF">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2.1质量保证期过后，投标人应同样提供</w:t>
      </w:r>
      <w:r>
        <w:rPr>
          <w:rFonts w:hint="eastAsia" w:ascii="宋体" w:hAnsi="宋体" w:eastAsia="宋体" w:cs="宋体"/>
          <w:color w:val="auto"/>
          <w:kern w:val="0"/>
          <w:sz w:val="24"/>
          <w:szCs w:val="24"/>
          <w:lang w:val="en-US" w:eastAsia="zh-CN"/>
        </w:rPr>
        <w:t>电话</w:t>
      </w:r>
      <w:r>
        <w:rPr>
          <w:rFonts w:hint="eastAsia" w:ascii="宋体" w:hAnsi="宋体" w:eastAsia="宋体" w:cs="宋体"/>
          <w:color w:val="auto"/>
          <w:kern w:val="0"/>
          <w:sz w:val="24"/>
          <w:szCs w:val="24"/>
        </w:rPr>
        <w:t>话咨询服务，并应承诺提供产品上门维护服务。</w:t>
      </w:r>
    </w:p>
    <w:p w14:paraId="79A4A3DB">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2.2质量保证期过后，采购人需要继续由原投标人提供售后服务的，该投标人应以优惠价格提供售后服务。</w:t>
      </w:r>
    </w:p>
    <w:p w14:paraId="4569FBA3">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（三）备品备件及易损件</w:t>
      </w:r>
    </w:p>
    <w:p w14:paraId="6024CBFE">
      <w:pPr>
        <w:snapToGrid w:val="0"/>
        <w:spacing w:line="40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投标人售后服务中，维修使用的备品备件及易损件应为原厂配件，未经采购人同意不得使用非原厂配件。</w:t>
      </w:r>
      <w:r>
        <w:rPr>
          <w:rFonts w:hint="eastAsia" w:ascii="宋体" w:hAnsi="宋体" w:eastAsia="宋体" w:cs="宋体"/>
          <w:color w:val="auto"/>
          <w:sz w:val="24"/>
          <w:szCs w:val="24"/>
        </w:rPr>
        <w:t>发生质量问题，接到通知后，派出专业的维修人员到现场进行检测维修，发生的全部费用由中标人承担</w:t>
      </w:r>
      <w:r>
        <w:rPr>
          <w:rFonts w:hint="eastAsia" w:ascii="宋体" w:hAnsi="宋体" w:eastAsia="宋体" w:cs="宋体"/>
          <w:color w:val="auto"/>
          <w:kern w:val="0"/>
          <w:sz w:val="24"/>
          <w:szCs w:val="24"/>
        </w:rPr>
        <w:t>，包含在本次投标报价中</w:t>
      </w:r>
      <w:r>
        <w:rPr>
          <w:rFonts w:hint="eastAsia" w:ascii="宋体" w:hAnsi="宋体" w:eastAsia="宋体" w:cs="宋体"/>
          <w:color w:val="auto"/>
          <w:sz w:val="24"/>
          <w:szCs w:val="24"/>
          <w:lang w:eastAsia="zh-CN"/>
        </w:rPr>
        <w:t>。</w:t>
      </w:r>
    </w:p>
    <w:p w14:paraId="6C003C47">
      <w:pPr>
        <w:pStyle w:val="3"/>
        <w:spacing w:line="400" w:lineRule="exact"/>
        <w:ind w:firstLine="480" w:firstLineChars="200"/>
        <w:rPr>
          <w:rFonts w:hint="eastAsia" w:ascii="宋体" w:hAnsi="宋体" w:eastAsia="宋体" w:cs="宋体"/>
          <w:b/>
          <w:color w:val="auto"/>
          <w:sz w:val="24"/>
          <w:szCs w:val="24"/>
        </w:rPr>
      </w:pPr>
      <w:bookmarkStart w:id="311" w:name="_Toc6962"/>
      <w:bookmarkStart w:id="312" w:name="_Toc27379"/>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四、付款方式</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06B766A6">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bookmarkStart w:id="313" w:name="_Toc20369"/>
      <w:bookmarkStart w:id="314" w:name="_Toc267320052"/>
      <w:bookmarkStart w:id="315" w:name="_Toc75793513"/>
      <w:bookmarkStart w:id="316" w:name="_Toc10105"/>
      <w:bookmarkStart w:id="317" w:name="_Toc28056"/>
      <w:bookmarkStart w:id="318" w:name="_Toc4339"/>
      <w:bookmarkStart w:id="319" w:name="_Toc22431"/>
      <w:bookmarkStart w:id="320" w:name="_Toc9213"/>
      <w:bookmarkStart w:id="321" w:name="_Toc27144"/>
      <w:bookmarkStart w:id="322" w:name="_Toc11060"/>
      <w:bookmarkStart w:id="323" w:name="_Toc3565"/>
      <w:bookmarkStart w:id="324" w:name="_Toc11399"/>
      <w:bookmarkStart w:id="325" w:name="_Toc4897"/>
      <w:bookmarkStart w:id="326" w:name="_Toc3311"/>
      <w:bookmarkStart w:id="327" w:name="_Toc18959"/>
      <w:bookmarkStart w:id="328" w:name="_Toc25410"/>
      <w:r>
        <w:rPr>
          <w:rFonts w:hint="eastAsia" w:ascii="宋体" w:hAnsi="宋体" w:eastAsia="宋体" w:cs="宋体"/>
          <w:color w:val="auto"/>
          <w:kern w:val="0"/>
          <w:sz w:val="24"/>
          <w:szCs w:val="24"/>
          <w:highlight w:val="none"/>
        </w:rPr>
        <w:t>（一）</w:t>
      </w:r>
      <w:r>
        <w:rPr>
          <w:rFonts w:hint="eastAsia" w:ascii="宋体" w:hAnsi="宋体" w:eastAsia="宋体" w:cs="宋体"/>
          <w:color w:val="auto"/>
          <w:kern w:val="0"/>
          <w:sz w:val="24"/>
          <w:szCs w:val="24"/>
          <w:highlight w:val="none"/>
          <w:lang w:val="en-US" w:eastAsia="zh-CN"/>
        </w:rPr>
        <w:t>签订合同前，</w:t>
      </w:r>
      <w:r>
        <w:rPr>
          <w:rFonts w:hint="eastAsia" w:ascii="宋体" w:hAnsi="宋体" w:eastAsia="宋体" w:cs="宋体"/>
          <w:color w:val="auto"/>
          <w:kern w:val="0"/>
          <w:sz w:val="24"/>
          <w:szCs w:val="24"/>
          <w:highlight w:val="none"/>
        </w:rPr>
        <w:t>自中标通知书发出之日起中标人应在5个工作日内交纳履约保证金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中标人向采购人</w:t>
      </w:r>
      <w:r>
        <w:rPr>
          <w:rFonts w:hint="eastAsia" w:ascii="宋体" w:hAnsi="宋体" w:eastAsia="宋体" w:cs="宋体"/>
          <w:color w:val="auto"/>
          <w:kern w:val="0"/>
          <w:sz w:val="24"/>
          <w:szCs w:val="24"/>
        </w:rPr>
        <w:t>缴纳</w:t>
      </w:r>
      <w:r>
        <w:rPr>
          <w:rFonts w:hint="eastAsia" w:ascii="宋体" w:hAnsi="宋体" w:eastAsia="宋体" w:cs="宋体"/>
          <w:color w:val="auto"/>
          <w:kern w:val="0"/>
          <w:sz w:val="24"/>
          <w:szCs w:val="24"/>
          <w:highlight w:val="none"/>
          <w:lang w:val="en-US" w:eastAsia="zh-CN"/>
        </w:rPr>
        <w:t>预算</w:t>
      </w:r>
      <w:r>
        <w:rPr>
          <w:rFonts w:hint="eastAsia" w:ascii="宋体" w:hAnsi="宋体" w:eastAsia="宋体" w:cs="宋体"/>
          <w:color w:val="auto"/>
          <w:kern w:val="0"/>
          <w:sz w:val="24"/>
          <w:szCs w:val="24"/>
          <w:highlight w:val="none"/>
        </w:rPr>
        <w:t>金额5%的履约保证金（以银行转账、支票、汇票、本票或者金融机构、担保机构出具的保函等非现金形式提交）。</w:t>
      </w:r>
    </w:p>
    <w:p w14:paraId="38C655CF">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履约保证金账户信息如下：</w:t>
      </w:r>
    </w:p>
    <w:p w14:paraId="6E44A2E9">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单位名称：重庆化工职业学院；</w:t>
      </w:r>
    </w:p>
    <w:p w14:paraId="1770147B">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开户行：中国建设银行长寿支行桃花新城分理处；</w:t>
      </w:r>
    </w:p>
    <w:p w14:paraId="16ED0403">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账号：50001120041052506322；</w:t>
      </w:r>
    </w:p>
    <w:p w14:paraId="68D73CE0">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如未按以上规定按时足额缴纳履约保证金，采购人将视其为不诚信行为；</w:t>
      </w:r>
    </w:p>
    <w:p w14:paraId="318183E1">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（二）货物安装调试完成</w:t>
      </w:r>
      <w:r>
        <w:rPr>
          <w:rFonts w:hint="eastAsia" w:ascii="宋体" w:hAnsi="宋体" w:eastAsia="宋体" w:cs="宋体"/>
          <w:color w:val="auto"/>
          <w:kern w:val="0"/>
          <w:sz w:val="24"/>
          <w:szCs w:val="24"/>
          <w:highlight w:val="none"/>
          <w:lang w:val="en-US" w:eastAsia="zh-CN"/>
        </w:rPr>
        <w:t>后</w:t>
      </w:r>
      <w:r>
        <w:rPr>
          <w:rFonts w:hint="eastAsia" w:ascii="宋体" w:hAnsi="宋体" w:eastAsia="宋体" w:cs="宋体"/>
          <w:color w:val="auto"/>
          <w:kern w:val="0"/>
          <w:sz w:val="24"/>
          <w:szCs w:val="24"/>
          <w:highlight w:val="none"/>
        </w:rPr>
        <w:t>采购人出具项目验收报告；</w:t>
      </w:r>
    </w:p>
    <w:p w14:paraId="5B3D0334">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（三）验收合格后，中标人提交采购合同、验收报告、合同全部金额的发票等材料，向采购人申请付款；</w:t>
      </w:r>
    </w:p>
    <w:p w14:paraId="7785FC38">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（四）采购人对中标人提交的付款资料审核通过后，以转账方式支付合同总额的100%：</w:t>
      </w:r>
    </w:p>
    <w:p w14:paraId="6DE8882B">
      <w:pPr>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（五）履约保证金退还：采购人按渝财采购〔2021〕13号文件内容执行。验收合格的政府采购项目，采购人应当按照合同约定的退还方式在3个工作日内按程序办理退还手续。</w:t>
      </w:r>
    </w:p>
    <w:p w14:paraId="567A80E9">
      <w:pPr>
        <w:pStyle w:val="3"/>
        <w:spacing w:line="400" w:lineRule="exact"/>
        <w:ind w:firstLine="480" w:firstLineChars="200"/>
        <w:rPr>
          <w:rFonts w:hint="eastAsia" w:ascii="宋体" w:hAnsi="宋体" w:eastAsia="宋体" w:cs="宋体"/>
          <w:b/>
          <w:color w:val="auto"/>
          <w:sz w:val="24"/>
          <w:szCs w:val="24"/>
        </w:rPr>
      </w:pPr>
      <w:bookmarkStart w:id="329" w:name="_Toc12443"/>
      <w:bookmarkStart w:id="330" w:name="_Toc19678"/>
      <w:r>
        <w:rPr>
          <w:rFonts w:hint="eastAsia" w:ascii="宋体" w:hAnsi="宋体" w:eastAsia="宋体" w:cs="宋体"/>
          <w:color w:val="auto"/>
          <w:kern w:val="0"/>
          <w:sz w:val="24"/>
          <w:szCs w:val="24"/>
        </w:rPr>
        <w:t>※</w:t>
      </w:r>
      <w:r>
        <w:rPr>
          <w:rFonts w:hint="eastAsia" w:ascii="宋体" w:hAnsi="宋体" w:eastAsia="宋体" w:cs="宋体"/>
          <w:b/>
          <w:color w:val="auto"/>
          <w:sz w:val="24"/>
          <w:szCs w:val="24"/>
        </w:rPr>
        <w:t>五、知识产权</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287B55B3">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采购人在中华人民共和国境内使用投标人提供的货物及服务时免受第三方提出的侵犯其专利权或其它知识产权的起诉。如果第三方提出侵权指控，中标人应承担由此而引起的一切法律责任和费用。</w:t>
      </w:r>
    </w:p>
    <w:p w14:paraId="16D5E685">
      <w:pPr>
        <w:pStyle w:val="3"/>
        <w:spacing w:line="400" w:lineRule="exact"/>
        <w:ind w:firstLine="482" w:firstLineChars="200"/>
        <w:rPr>
          <w:rFonts w:hint="eastAsia" w:ascii="宋体" w:hAnsi="宋体" w:eastAsia="宋体" w:cs="宋体"/>
          <w:b/>
          <w:bCs/>
          <w:color w:val="auto"/>
          <w:kern w:val="0"/>
          <w:sz w:val="24"/>
          <w:szCs w:val="24"/>
        </w:rPr>
      </w:pPr>
      <w:bookmarkStart w:id="331" w:name="_Toc5139"/>
      <w:bookmarkStart w:id="332" w:name="_Toc22633"/>
      <w:bookmarkStart w:id="333" w:name="_Toc5970"/>
      <w:bookmarkStart w:id="334" w:name="_Toc16838"/>
      <w:bookmarkStart w:id="335" w:name="_Toc979"/>
      <w:bookmarkStart w:id="336" w:name="_Toc100125795"/>
      <w:bookmarkStart w:id="337" w:name="_Toc76373884"/>
      <w:bookmarkStart w:id="338" w:name="_Toc13059"/>
      <w:bookmarkStart w:id="339" w:name="_Toc30515"/>
      <w:bookmarkStart w:id="340" w:name="_Toc28513"/>
      <w:bookmarkStart w:id="341" w:name="_Toc23858"/>
      <w:bookmarkStart w:id="342" w:name="_Toc4353"/>
      <w:bookmarkStart w:id="343" w:name="_Toc75793516"/>
      <w:bookmarkStart w:id="344" w:name="_Toc13936"/>
      <w:bookmarkStart w:id="345" w:name="_Toc17569"/>
      <w:bookmarkStart w:id="346" w:name="_Toc6099"/>
      <w:bookmarkStart w:id="347" w:name="_Toc32308"/>
      <w:bookmarkStart w:id="348" w:name="_Toc529"/>
      <w:bookmarkStart w:id="349" w:name="_Toc10406"/>
      <w:bookmarkStart w:id="350" w:name="_Toc14923"/>
      <w:bookmarkStart w:id="351" w:name="_Toc267320054"/>
      <w:bookmarkStart w:id="352" w:name="_Toc6385"/>
      <w:bookmarkStart w:id="353" w:name="_Toc27175"/>
      <w:bookmarkStart w:id="354" w:name="_Toc1138"/>
      <w:r>
        <w:rPr>
          <w:rFonts w:hint="eastAsia" w:ascii="宋体" w:hAnsi="宋体" w:eastAsia="宋体" w:cs="宋体"/>
          <w:b/>
          <w:bCs/>
          <w:color w:val="auto"/>
          <w:kern w:val="0"/>
          <w:sz w:val="24"/>
          <w:szCs w:val="24"/>
        </w:rPr>
        <w:t>※六、培训</w:t>
      </w:r>
      <w:bookmarkEnd w:id="331"/>
      <w:bookmarkEnd w:id="332"/>
      <w:bookmarkEnd w:id="333"/>
      <w:bookmarkEnd w:id="334"/>
      <w:bookmarkEnd w:id="335"/>
    </w:p>
    <w:p w14:paraId="2008E066">
      <w:pPr>
        <w:snapToGrid w:val="0"/>
        <w:spacing w:line="400" w:lineRule="exact"/>
        <w:ind w:firstLine="54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（一）由</w:t>
      </w:r>
      <w:r>
        <w:rPr>
          <w:rFonts w:hint="eastAsia" w:ascii="宋体" w:hAnsi="宋体" w:eastAsia="宋体" w:cs="宋体"/>
          <w:color w:val="auto"/>
          <w:sz w:val="24"/>
          <w:szCs w:val="24"/>
          <w:lang w:eastAsia="zh-CN"/>
        </w:rPr>
        <w:t>中标人</w:t>
      </w:r>
      <w:r>
        <w:rPr>
          <w:rFonts w:hint="eastAsia" w:ascii="宋体" w:hAnsi="宋体" w:eastAsia="宋体" w:cs="宋体"/>
          <w:color w:val="auto"/>
          <w:sz w:val="24"/>
          <w:szCs w:val="24"/>
        </w:rPr>
        <w:t>组织培训、安装及调试；在现场安装调试期间，对采购人人员进行至少</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人的技术培训</w:t>
      </w:r>
      <w:r>
        <w:rPr>
          <w:rFonts w:hint="eastAsia"/>
          <w:lang w:eastAsia="zh-CN"/>
        </w:rPr>
        <w:t>。</w:t>
      </w:r>
    </w:p>
    <w:p w14:paraId="2E3BA7FB">
      <w:pPr>
        <w:snapToGrid w:val="0"/>
        <w:spacing w:line="400" w:lineRule="exact"/>
        <w:ind w:firstLine="540"/>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对其提供产品的使用和操作应尽培训义务；</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应提供对采购人的培训，使采购人使用人员能够正常操作相关设备；</w:t>
      </w:r>
    </w:p>
    <w:bookmarkEnd w:id="336"/>
    <w:bookmarkEnd w:id="337"/>
    <w:bookmarkEnd w:id="338"/>
    <w:p w14:paraId="1B9616F1">
      <w:pPr>
        <w:pStyle w:val="3"/>
        <w:spacing w:line="400" w:lineRule="exact"/>
        <w:ind w:firstLine="480" w:firstLineChars="200"/>
        <w:rPr>
          <w:rFonts w:hint="eastAsia" w:ascii="宋体" w:hAnsi="宋体" w:eastAsia="宋体" w:cs="宋体"/>
          <w:b/>
          <w:color w:val="auto"/>
          <w:sz w:val="24"/>
        </w:rPr>
      </w:pPr>
      <w:bookmarkStart w:id="355" w:name="_Toc18659"/>
      <w:bookmarkStart w:id="356" w:name="_Toc26367"/>
      <w:bookmarkStart w:id="357" w:name="_Toc75793515"/>
      <w:bookmarkStart w:id="358" w:name="_Toc8027"/>
      <w:bookmarkStart w:id="359" w:name="_Toc15245"/>
      <w:bookmarkStart w:id="360" w:name="_Toc13166"/>
      <w:bookmarkStart w:id="361" w:name="_Toc21957"/>
      <w:bookmarkStart w:id="362" w:name="_Toc5987"/>
      <w:bookmarkStart w:id="363" w:name="_Toc20414"/>
      <w:bookmarkStart w:id="364" w:name="_Toc23957"/>
      <w:bookmarkStart w:id="365" w:name="_Toc7168"/>
      <w:bookmarkStart w:id="366" w:name="_Toc28278"/>
      <w:bookmarkStart w:id="367" w:name="_Toc26694"/>
      <w:bookmarkStart w:id="368" w:name="_Toc28797"/>
      <w:bookmarkStart w:id="369" w:name="_Toc18165"/>
      <w:bookmarkStart w:id="370" w:name="_Toc28488"/>
      <w:bookmarkStart w:id="371" w:name="_Toc9916"/>
      <w:bookmarkStart w:id="372" w:name="_Toc8389"/>
      <w:r>
        <w:rPr>
          <w:rFonts w:hint="eastAsia" w:ascii="宋体" w:hAnsi="宋体" w:eastAsia="宋体" w:cs="宋体"/>
          <w:color w:val="auto"/>
          <w:kern w:val="0"/>
          <w:sz w:val="24"/>
          <w:szCs w:val="24"/>
        </w:rPr>
        <w:t>※</w:t>
      </w:r>
      <w:r>
        <w:rPr>
          <w:rFonts w:hint="eastAsia" w:ascii="宋体" w:hAnsi="宋体" w:eastAsia="宋体" w:cs="宋体"/>
          <w:b/>
          <w:color w:val="auto"/>
          <w:sz w:val="24"/>
        </w:rPr>
        <w:t>七、附件、图纸及包装要求</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1BB311A4">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sz w:val="24"/>
          <w:szCs w:val="28"/>
        </w:rPr>
        <w:t>所有设备按照制造商规定的产品包装和随机标准附件为准。</w:t>
      </w:r>
    </w:p>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14:paraId="538527DB">
      <w:pPr>
        <w:spacing w:line="400" w:lineRule="exact"/>
        <w:ind w:firstLine="480" w:firstLineChars="200"/>
        <w:rPr>
          <w:rFonts w:hint="eastAsia" w:ascii="宋体" w:hAnsi="宋体" w:eastAsia="宋体" w:cs="宋体"/>
          <w:color w:val="auto"/>
          <w:sz w:val="24"/>
          <w:szCs w:val="28"/>
        </w:rPr>
      </w:pPr>
      <w:bookmarkStart w:id="373" w:name="_Toc32453"/>
    </w:p>
    <w:p w14:paraId="3D676A0E">
      <w:pPr>
        <w:spacing w:line="400" w:lineRule="exact"/>
        <w:ind w:firstLine="480" w:firstLineChars="200"/>
        <w:rPr>
          <w:rFonts w:hint="eastAsia" w:ascii="宋体" w:hAnsi="宋体" w:eastAsia="宋体" w:cs="宋体"/>
          <w:color w:val="auto"/>
          <w:sz w:val="24"/>
          <w:szCs w:val="28"/>
        </w:rPr>
      </w:pPr>
    </w:p>
    <w:p w14:paraId="190D92FD">
      <w:pPr>
        <w:pStyle w:val="2"/>
        <w:spacing w:before="0" w:after="0" w:line="240" w:lineRule="auto"/>
        <w:rPr>
          <w:rFonts w:hint="eastAsia" w:ascii="宋体" w:hAnsi="宋体" w:eastAsia="宋体" w:cs="宋体"/>
          <w:b/>
          <w:color w:val="auto"/>
        </w:rPr>
      </w:pPr>
      <w:r>
        <w:rPr>
          <w:rFonts w:hint="eastAsia" w:ascii="宋体" w:hAnsi="宋体" w:eastAsia="宋体" w:cs="宋体"/>
          <w:color w:val="auto"/>
          <w:sz w:val="24"/>
          <w:szCs w:val="28"/>
        </w:rPr>
        <w:br w:type="page"/>
      </w:r>
      <w:bookmarkStart w:id="374" w:name="_Toc19543"/>
      <w:bookmarkStart w:id="375" w:name="_Toc75793517"/>
      <w:bookmarkStart w:id="376" w:name="_Toc15693"/>
      <w:bookmarkStart w:id="377" w:name="_Toc2487"/>
      <w:bookmarkStart w:id="378" w:name="_Toc30067"/>
      <w:bookmarkStart w:id="379" w:name="_Toc8133"/>
      <w:bookmarkStart w:id="380" w:name="_Toc25165"/>
      <w:bookmarkStart w:id="381" w:name="_Toc2406"/>
      <w:bookmarkStart w:id="382" w:name="_Toc22763"/>
      <w:bookmarkStart w:id="383" w:name="_Toc11875"/>
      <w:bookmarkStart w:id="384" w:name="_Toc23377"/>
      <w:bookmarkStart w:id="385" w:name="_Toc3339"/>
      <w:bookmarkStart w:id="386" w:name="_Toc24966"/>
      <w:bookmarkStart w:id="387" w:name="_Toc25911"/>
      <w:bookmarkStart w:id="388" w:name="_Toc25903"/>
      <w:bookmarkStart w:id="389" w:name="_Toc15534"/>
      <w:r>
        <w:rPr>
          <w:rFonts w:hint="eastAsia" w:ascii="宋体" w:hAnsi="宋体" w:eastAsia="宋体" w:cs="宋体"/>
          <w:b/>
          <w:color w:val="auto"/>
        </w:rPr>
        <w:t>第四篇  资格审查及评标办法</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32B84003">
      <w:pPr>
        <w:pStyle w:val="3"/>
        <w:spacing w:line="400" w:lineRule="exact"/>
        <w:ind w:firstLine="482" w:firstLineChars="200"/>
        <w:rPr>
          <w:rFonts w:hint="eastAsia" w:ascii="宋体" w:hAnsi="宋体" w:eastAsia="宋体" w:cs="宋体"/>
          <w:b/>
          <w:color w:val="auto"/>
          <w:sz w:val="24"/>
          <w:szCs w:val="24"/>
        </w:rPr>
      </w:pPr>
      <w:bookmarkStart w:id="390" w:name="_Toc23973"/>
      <w:bookmarkStart w:id="391" w:name="_Toc4071"/>
      <w:bookmarkStart w:id="392" w:name="_Toc29755"/>
      <w:bookmarkStart w:id="393" w:name="_Toc8983"/>
      <w:bookmarkStart w:id="394" w:name="_Toc28903"/>
      <w:bookmarkStart w:id="395" w:name="_Toc26309"/>
      <w:bookmarkStart w:id="396" w:name="_Toc25971"/>
      <w:bookmarkStart w:id="397" w:name="_Toc1497"/>
      <w:bookmarkStart w:id="398" w:name="_Toc75793518"/>
      <w:bookmarkStart w:id="399" w:name="_Toc20541"/>
      <w:bookmarkStart w:id="400" w:name="_Toc27081"/>
      <w:bookmarkStart w:id="401" w:name="_Toc21859"/>
      <w:bookmarkStart w:id="402" w:name="_Toc28360"/>
      <w:bookmarkStart w:id="403" w:name="_Toc12641"/>
      <w:bookmarkStart w:id="404" w:name="_Toc14564"/>
      <w:bookmarkStart w:id="405" w:name="_Toc30156"/>
      <w:bookmarkStart w:id="406" w:name="_Toc10278"/>
      <w:r>
        <w:rPr>
          <w:rFonts w:hint="eastAsia" w:ascii="宋体" w:hAnsi="宋体" w:eastAsia="宋体" w:cs="宋体"/>
          <w:b/>
          <w:color w:val="auto"/>
          <w:sz w:val="24"/>
          <w:szCs w:val="24"/>
        </w:rPr>
        <w:t>一、资格审查</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hint="eastAsia" w:ascii="宋体" w:hAnsi="宋体" w:eastAsia="宋体" w:cs="宋体"/>
          <w:b/>
          <w:color w:val="auto"/>
          <w:sz w:val="24"/>
          <w:szCs w:val="24"/>
        </w:rPr>
        <w:t>及符合性审查</w:t>
      </w:r>
      <w:bookmarkEnd w:id="405"/>
      <w:bookmarkEnd w:id="406"/>
    </w:p>
    <w:p w14:paraId="66585FAB">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若未通过资格审查及符合性审查的投标文件，不进入评审环节。</w:t>
      </w:r>
    </w:p>
    <w:p w14:paraId="73A79237">
      <w:pPr>
        <w:snapToGrid w:val="0"/>
        <w:spacing w:line="4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sz w:val="24"/>
          <w:szCs w:val="24"/>
        </w:rPr>
        <w:t>（一）资格审查</w:t>
      </w:r>
    </w:p>
    <w:p w14:paraId="07BDDE14">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依据政府采购相关法律法规规定，由采购人或采购代理机构对投标文件中的资格证明文件进行审查。资格审查资料表如下：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1EA42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443CCFA">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序号</w:t>
            </w:r>
          </w:p>
        </w:tc>
        <w:tc>
          <w:tcPr>
            <w:tcW w:w="3827" w:type="dxa"/>
            <w:gridSpan w:val="2"/>
            <w:vAlign w:val="center"/>
          </w:tcPr>
          <w:p w14:paraId="3442FEF8">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检查因素</w:t>
            </w:r>
          </w:p>
        </w:tc>
        <w:tc>
          <w:tcPr>
            <w:tcW w:w="4984" w:type="dxa"/>
            <w:vAlign w:val="center"/>
          </w:tcPr>
          <w:p w14:paraId="48808DFB">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检查内容</w:t>
            </w:r>
          </w:p>
        </w:tc>
      </w:tr>
      <w:tr w14:paraId="2661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7984732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（一）</w:t>
            </w:r>
          </w:p>
        </w:tc>
        <w:tc>
          <w:tcPr>
            <w:tcW w:w="709" w:type="dxa"/>
            <w:vMerge w:val="restart"/>
            <w:vAlign w:val="center"/>
          </w:tcPr>
          <w:p w14:paraId="6EC63BE0">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《中华人民共和国政府采购法》第二十二条规定</w:t>
            </w:r>
          </w:p>
        </w:tc>
        <w:tc>
          <w:tcPr>
            <w:tcW w:w="3118" w:type="dxa"/>
            <w:vAlign w:val="center"/>
          </w:tcPr>
          <w:p w14:paraId="5898B8FC">
            <w:pPr>
              <w:rPr>
                <w:rFonts w:hint="eastAsia" w:ascii="宋体" w:hAnsi="宋体" w:eastAsia="宋体" w:cs="宋体"/>
                <w:color w:val="auto"/>
                <w:sz w:val="21"/>
                <w:szCs w:val="21"/>
              </w:rPr>
            </w:pPr>
            <w:r>
              <w:rPr>
                <w:rFonts w:hint="eastAsia" w:ascii="宋体" w:hAnsi="宋体" w:eastAsia="宋体" w:cs="宋体"/>
                <w:color w:val="auto"/>
                <w:sz w:val="21"/>
                <w:szCs w:val="21"/>
              </w:rPr>
              <w:t>1.具有独立承担民事责任的能力</w:t>
            </w:r>
          </w:p>
        </w:tc>
        <w:tc>
          <w:tcPr>
            <w:tcW w:w="4984" w:type="dxa"/>
            <w:vAlign w:val="center"/>
          </w:tcPr>
          <w:p w14:paraId="79CE6394">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1.投标人法人营业执照（副本）或事业单位法人证书（副本）或个体工商户营业执照或有效的自然人身份证明或社会团体法人登记证书（提供复印件）。 </w:t>
            </w:r>
          </w:p>
          <w:p w14:paraId="6599A76B">
            <w:pPr>
              <w:rPr>
                <w:rFonts w:hint="eastAsia" w:ascii="宋体" w:hAnsi="宋体" w:eastAsia="宋体" w:cs="宋体"/>
                <w:color w:val="auto"/>
                <w:sz w:val="21"/>
                <w:szCs w:val="21"/>
              </w:rPr>
            </w:pPr>
            <w:r>
              <w:rPr>
                <w:rFonts w:hint="eastAsia" w:ascii="宋体" w:hAnsi="宋体" w:eastAsia="宋体" w:cs="宋体"/>
                <w:color w:val="auto"/>
                <w:sz w:val="21"/>
                <w:szCs w:val="21"/>
              </w:rPr>
              <w:t>2.投标人法定代表人身份证明和法定代表人授权代表委托书。</w:t>
            </w:r>
          </w:p>
        </w:tc>
      </w:tr>
      <w:tr w14:paraId="4CB5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72873181">
            <w:pPr>
              <w:jc w:val="center"/>
              <w:rPr>
                <w:rFonts w:hint="eastAsia" w:ascii="宋体" w:hAnsi="宋体" w:eastAsia="宋体" w:cs="宋体"/>
                <w:color w:val="auto"/>
                <w:sz w:val="21"/>
                <w:szCs w:val="21"/>
              </w:rPr>
            </w:pPr>
          </w:p>
        </w:tc>
        <w:tc>
          <w:tcPr>
            <w:tcW w:w="709" w:type="dxa"/>
            <w:vMerge w:val="continue"/>
            <w:vAlign w:val="center"/>
          </w:tcPr>
          <w:p w14:paraId="0FC2F957">
            <w:pPr>
              <w:rPr>
                <w:rFonts w:hint="eastAsia" w:ascii="宋体" w:hAnsi="宋体" w:eastAsia="宋体" w:cs="宋体"/>
                <w:color w:val="auto"/>
                <w:sz w:val="21"/>
                <w:szCs w:val="21"/>
                <w:lang w:val="zh-CN"/>
              </w:rPr>
            </w:pPr>
          </w:p>
        </w:tc>
        <w:tc>
          <w:tcPr>
            <w:tcW w:w="3118" w:type="dxa"/>
            <w:vAlign w:val="center"/>
          </w:tcPr>
          <w:p w14:paraId="6C27D6F0">
            <w:pPr>
              <w:rPr>
                <w:rFonts w:hint="eastAsia" w:ascii="宋体" w:hAnsi="宋体" w:eastAsia="宋体" w:cs="宋体"/>
                <w:color w:val="auto"/>
                <w:sz w:val="21"/>
                <w:szCs w:val="21"/>
              </w:rPr>
            </w:pPr>
            <w:r>
              <w:rPr>
                <w:rFonts w:hint="eastAsia" w:ascii="宋体" w:hAnsi="宋体" w:eastAsia="宋体" w:cs="宋体"/>
                <w:color w:val="auto"/>
                <w:sz w:val="21"/>
                <w:szCs w:val="21"/>
                <w:lang w:val="zh-CN"/>
              </w:rPr>
              <w:t>2.</w:t>
            </w:r>
            <w:r>
              <w:rPr>
                <w:rFonts w:hint="eastAsia" w:ascii="宋体" w:hAnsi="宋体" w:eastAsia="宋体" w:cs="宋体"/>
                <w:color w:val="auto"/>
                <w:sz w:val="21"/>
                <w:szCs w:val="21"/>
              </w:rPr>
              <w:t>具有良好的商业信誉和健全的财务会计制度</w:t>
            </w:r>
          </w:p>
        </w:tc>
        <w:tc>
          <w:tcPr>
            <w:tcW w:w="4984" w:type="dxa"/>
            <w:vMerge w:val="restart"/>
            <w:vAlign w:val="center"/>
          </w:tcPr>
          <w:p w14:paraId="5F25CAB3">
            <w:pPr>
              <w:rPr>
                <w:rFonts w:hint="eastAsia" w:ascii="宋体" w:hAnsi="宋体" w:eastAsia="宋体" w:cs="宋体"/>
                <w:color w:val="auto"/>
                <w:sz w:val="21"/>
                <w:szCs w:val="21"/>
              </w:rPr>
            </w:pPr>
            <w:r>
              <w:rPr>
                <w:rFonts w:hint="eastAsia" w:ascii="宋体" w:hAnsi="宋体" w:eastAsia="宋体" w:cs="宋体"/>
                <w:color w:val="auto"/>
                <w:sz w:val="21"/>
                <w:szCs w:val="21"/>
              </w:rPr>
              <w:t>投标人提供“基本资格条件承诺函”（格式详见第七篇）</w:t>
            </w:r>
          </w:p>
          <w:p w14:paraId="04BDFA42">
            <w:pPr>
              <w:rPr>
                <w:rFonts w:hint="eastAsia" w:ascii="宋体" w:hAnsi="宋体" w:eastAsia="宋体" w:cs="宋体"/>
                <w:b/>
                <w:color w:val="auto"/>
                <w:sz w:val="21"/>
                <w:szCs w:val="21"/>
              </w:rPr>
            </w:pPr>
          </w:p>
        </w:tc>
      </w:tr>
      <w:tr w14:paraId="7F64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381245A0">
            <w:pPr>
              <w:jc w:val="center"/>
              <w:rPr>
                <w:rFonts w:hint="eastAsia" w:ascii="宋体" w:hAnsi="宋体" w:eastAsia="宋体" w:cs="宋体"/>
                <w:color w:val="auto"/>
                <w:sz w:val="21"/>
                <w:szCs w:val="21"/>
              </w:rPr>
            </w:pPr>
          </w:p>
        </w:tc>
        <w:tc>
          <w:tcPr>
            <w:tcW w:w="709" w:type="dxa"/>
            <w:vMerge w:val="continue"/>
            <w:vAlign w:val="center"/>
          </w:tcPr>
          <w:p w14:paraId="6393A7B0">
            <w:pPr>
              <w:rPr>
                <w:rFonts w:hint="eastAsia" w:ascii="宋体" w:hAnsi="宋体" w:eastAsia="宋体" w:cs="宋体"/>
                <w:color w:val="auto"/>
                <w:sz w:val="21"/>
                <w:szCs w:val="21"/>
                <w:lang w:val="zh-CN"/>
              </w:rPr>
            </w:pPr>
          </w:p>
        </w:tc>
        <w:tc>
          <w:tcPr>
            <w:tcW w:w="3118" w:type="dxa"/>
            <w:vAlign w:val="center"/>
          </w:tcPr>
          <w:p w14:paraId="5EE37CF4">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3.具有履行合同所必需的设备和专业技术能力</w:t>
            </w:r>
          </w:p>
        </w:tc>
        <w:tc>
          <w:tcPr>
            <w:tcW w:w="4984" w:type="dxa"/>
            <w:vMerge w:val="continue"/>
            <w:vAlign w:val="center"/>
          </w:tcPr>
          <w:p w14:paraId="07C9412D">
            <w:pPr>
              <w:rPr>
                <w:rFonts w:hint="eastAsia" w:ascii="宋体" w:hAnsi="宋体" w:eastAsia="宋体" w:cs="宋体"/>
                <w:color w:val="auto"/>
                <w:sz w:val="21"/>
                <w:szCs w:val="21"/>
              </w:rPr>
            </w:pPr>
          </w:p>
        </w:tc>
      </w:tr>
      <w:tr w14:paraId="34E3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38EEFFA">
            <w:pPr>
              <w:jc w:val="center"/>
              <w:rPr>
                <w:rFonts w:hint="eastAsia" w:ascii="宋体" w:hAnsi="宋体" w:eastAsia="宋体" w:cs="宋体"/>
                <w:color w:val="auto"/>
                <w:sz w:val="21"/>
                <w:szCs w:val="21"/>
              </w:rPr>
            </w:pPr>
          </w:p>
        </w:tc>
        <w:tc>
          <w:tcPr>
            <w:tcW w:w="709" w:type="dxa"/>
            <w:vMerge w:val="continue"/>
            <w:vAlign w:val="center"/>
          </w:tcPr>
          <w:p w14:paraId="06CF496C">
            <w:pPr>
              <w:rPr>
                <w:rFonts w:hint="eastAsia" w:ascii="宋体" w:hAnsi="宋体" w:eastAsia="宋体" w:cs="宋体"/>
                <w:color w:val="auto"/>
                <w:sz w:val="21"/>
                <w:szCs w:val="21"/>
                <w:lang w:val="zh-CN"/>
              </w:rPr>
            </w:pPr>
          </w:p>
        </w:tc>
        <w:tc>
          <w:tcPr>
            <w:tcW w:w="3118" w:type="dxa"/>
            <w:vAlign w:val="center"/>
          </w:tcPr>
          <w:p w14:paraId="14411F67">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4.有依法缴纳税收和社会保障金的良好记录</w:t>
            </w:r>
          </w:p>
        </w:tc>
        <w:tc>
          <w:tcPr>
            <w:tcW w:w="4984" w:type="dxa"/>
            <w:vMerge w:val="continue"/>
            <w:vAlign w:val="center"/>
          </w:tcPr>
          <w:p w14:paraId="1EFFFC13">
            <w:pPr>
              <w:rPr>
                <w:rFonts w:hint="eastAsia" w:ascii="宋体" w:hAnsi="宋体" w:eastAsia="宋体" w:cs="宋体"/>
                <w:color w:val="auto"/>
                <w:sz w:val="21"/>
                <w:szCs w:val="21"/>
              </w:rPr>
            </w:pPr>
          </w:p>
        </w:tc>
      </w:tr>
      <w:tr w14:paraId="2A34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FC806E7">
            <w:pPr>
              <w:jc w:val="center"/>
              <w:rPr>
                <w:rFonts w:hint="eastAsia" w:ascii="宋体" w:hAnsi="宋体" w:eastAsia="宋体" w:cs="宋体"/>
                <w:color w:val="auto"/>
                <w:sz w:val="21"/>
                <w:szCs w:val="21"/>
              </w:rPr>
            </w:pPr>
          </w:p>
        </w:tc>
        <w:tc>
          <w:tcPr>
            <w:tcW w:w="709" w:type="dxa"/>
            <w:vMerge w:val="continue"/>
            <w:vAlign w:val="center"/>
          </w:tcPr>
          <w:p w14:paraId="655DA9A6">
            <w:pPr>
              <w:rPr>
                <w:rFonts w:hint="eastAsia" w:ascii="宋体" w:hAnsi="宋体" w:eastAsia="宋体" w:cs="宋体"/>
                <w:color w:val="auto"/>
                <w:sz w:val="21"/>
                <w:szCs w:val="21"/>
                <w:lang w:val="zh-CN"/>
              </w:rPr>
            </w:pPr>
          </w:p>
        </w:tc>
        <w:tc>
          <w:tcPr>
            <w:tcW w:w="3118" w:type="dxa"/>
            <w:vAlign w:val="center"/>
          </w:tcPr>
          <w:p w14:paraId="3159E4DC">
            <w:pPr>
              <w:rPr>
                <w:rFonts w:hint="eastAsia" w:ascii="宋体" w:hAnsi="宋体" w:eastAsia="宋体" w:cs="宋体"/>
                <w:color w:val="auto"/>
                <w:sz w:val="21"/>
                <w:szCs w:val="21"/>
                <w:lang w:val="zh-CN"/>
              </w:rPr>
            </w:pPr>
            <w:r>
              <w:rPr>
                <w:rFonts w:hint="eastAsia" w:ascii="宋体" w:hAnsi="宋体" w:eastAsia="宋体" w:cs="宋体"/>
                <w:color w:val="auto"/>
                <w:sz w:val="21"/>
                <w:szCs w:val="21"/>
              </w:rPr>
              <w:t>5.参加政府采购活动前三年内，在经营活动中没有重大违法记录（注</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EQ \o\ac(○,</w:instrText>
            </w:r>
            <w:r>
              <w:rPr>
                <w:rFonts w:hint="eastAsia" w:ascii="宋体" w:hAnsi="宋体" w:eastAsia="宋体" w:cs="宋体"/>
                <w:color w:val="auto"/>
                <w:position w:val="2"/>
                <w:sz w:val="14"/>
                <w:szCs w:val="21"/>
              </w:rPr>
              <w:instrText xml:space="preserve">1</w:instrText>
            </w:r>
            <w:r>
              <w:rPr>
                <w:rFonts w:hint="eastAsia" w:ascii="宋体" w:hAnsi="宋体" w:eastAsia="宋体" w:cs="宋体"/>
                <w:color w:val="auto"/>
                <w:sz w:val="21"/>
                <w:szCs w:val="21"/>
              </w:rPr>
              <w:instrText xml:space="preserve">)</w:instrTex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w:t>
            </w:r>
          </w:p>
        </w:tc>
        <w:tc>
          <w:tcPr>
            <w:tcW w:w="4984" w:type="dxa"/>
            <w:vMerge w:val="continue"/>
            <w:vAlign w:val="center"/>
          </w:tcPr>
          <w:p w14:paraId="143B6800">
            <w:pPr>
              <w:rPr>
                <w:rFonts w:hint="eastAsia" w:ascii="宋体" w:hAnsi="宋体" w:eastAsia="宋体" w:cs="宋体"/>
                <w:b/>
                <w:color w:val="auto"/>
                <w:sz w:val="21"/>
                <w:szCs w:val="21"/>
              </w:rPr>
            </w:pPr>
          </w:p>
        </w:tc>
      </w:tr>
      <w:tr w14:paraId="469E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331094B2">
            <w:pPr>
              <w:jc w:val="center"/>
              <w:rPr>
                <w:rFonts w:hint="eastAsia" w:ascii="宋体" w:hAnsi="宋体" w:eastAsia="宋体" w:cs="宋体"/>
                <w:color w:val="auto"/>
                <w:sz w:val="21"/>
                <w:szCs w:val="21"/>
              </w:rPr>
            </w:pPr>
          </w:p>
        </w:tc>
        <w:tc>
          <w:tcPr>
            <w:tcW w:w="709" w:type="dxa"/>
            <w:vMerge w:val="continue"/>
            <w:vAlign w:val="center"/>
          </w:tcPr>
          <w:p w14:paraId="600F9113">
            <w:pPr>
              <w:rPr>
                <w:rFonts w:hint="eastAsia" w:ascii="宋体" w:hAnsi="宋体" w:eastAsia="宋体" w:cs="宋体"/>
                <w:color w:val="auto"/>
                <w:sz w:val="21"/>
                <w:szCs w:val="21"/>
              </w:rPr>
            </w:pPr>
          </w:p>
        </w:tc>
        <w:tc>
          <w:tcPr>
            <w:tcW w:w="3118" w:type="dxa"/>
            <w:vAlign w:val="center"/>
          </w:tcPr>
          <w:p w14:paraId="37EE3799">
            <w:pPr>
              <w:rPr>
                <w:rFonts w:hint="eastAsia" w:ascii="宋体" w:hAnsi="宋体" w:eastAsia="宋体" w:cs="宋体"/>
                <w:color w:val="auto"/>
                <w:sz w:val="21"/>
                <w:szCs w:val="21"/>
              </w:rPr>
            </w:pPr>
            <w:r>
              <w:rPr>
                <w:rFonts w:hint="eastAsia" w:ascii="宋体" w:hAnsi="宋体" w:eastAsia="宋体" w:cs="宋体"/>
                <w:color w:val="auto"/>
                <w:sz w:val="21"/>
                <w:szCs w:val="21"/>
              </w:rPr>
              <w:t>6.法律、行政法规规定的其他条件</w:t>
            </w:r>
          </w:p>
        </w:tc>
        <w:tc>
          <w:tcPr>
            <w:tcW w:w="4984" w:type="dxa"/>
            <w:vAlign w:val="center"/>
          </w:tcPr>
          <w:p w14:paraId="553C8974">
            <w:pPr>
              <w:rPr>
                <w:rFonts w:hint="eastAsia" w:ascii="宋体" w:hAnsi="宋体" w:eastAsia="宋体" w:cs="宋体"/>
                <w:color w:val="auto"/>
                <w:sz w:val="21"/>
                <w:szCs w:val="21"/>
              </w:rPr>
            </w:pPr>
          </w:p>
        </w:tc>
      </w:tr>
      <w:tr w14:paraId="735CD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47F792D0">
            <w:pPr>
              <w:jc w:val="center"/>
              <w:rPr>
                <w:rFonts w:hint="eastAsia" w:ascii="宋体" w:hAnsi="宋体" w:eastAsia="宋体" w:cs="宋体"/>
                <w:color w:val="auto"/>
                <w:sz w:val="21"/>
                <w:szCs w:val="21"/>
              </w:rPr>
            </w:pPr>
          </w:p>
        </w:tc>
        <w:tc>
          <w:tcPr>
            <w:tcW w:w="709" w:type="dxa"/>
            <w:vMerge w:val="continue"/>
            <w:vAlign w:val="center"/>
          </w:tcPr>
          <w:p w14:paraId="37B0CEC2">
            <w:pPr>
              <w:rPr>
                <w:rFonts w:hint="eastAsia" w:ascii="宋体" w:hAnsi="宋体" w:eastAsia="宋体" w:cs="宋体"/>
                <w:color w:val="auto"/>
                <w:sz w:val="21"/>
                <w:szCs w:val="21"/>
              </w:rPr>
            </w:pPr>
          </w:p>
        </w:tc>
        <w:tc>
          <w:tcPr>
            <w:tcW w:w="3118" w:type="dxa"/>
            <w:vAlign w:val="center"/>
          </w:tcPr>
          <w:p w14:paraId="6F418E5A">
            <w:pPr>
              <w:rPr>
                <w:rFonts w:hint="eastAsia" w:ascii="宋体" w:hAnsi="宋体" w:eastAsia="宋体" w:cs="宋体"/>
                <w:color w:val="auto"/>
                <w:sz w:val="21"/>
                <w:szCs w:val="21"/>
              </w:rPr>
            </w:pPr>
            <w:r>
              <w:rPr>
                <w:rFonts w:hint="eastAsia" w:ascii="宋体" w:hAnsi="宋体" w:eastAsia="宋体" w:cs="宋体"/>
                <w:color w:val="auto"/>
                <w:sz w:val="21"/>
                <w:szCs w:val="21"/>
              </w:rPr>
              <w:t>7.本项目的特定资格要求</w:t>
            </w:r>
          </w:p>
        </w:tc>
        <w:tc>
          <w:tcPr>
            <w:tcW w:w="4984" w:type="dxa"/>
            <w:vAlign w:val="center"/>
          </w:tcPr>
          <w:p w14:paraId="7B129B71">
            <w:pPr>
              <w:rPr>
                <w:rFonts w:hint="eastAsia" w:ascii="宋体" w:hAnsi="宋体" w:eastAsia="宋体" w:cs="宋体"/>
                <w:color w:val="auto"/>
                <w:sz w:val="21"/>
                <w:szCs w:val="21"/>
              </w:rPr>
            </w:pPr>
            <w:r>
              <w:rPr>
                <w:rFonts w:hint="eastAsia" w:ascii="宋体" w:hAnsi="宋体" w:eastAsia="宋体" w:cs="宋体"/>
                <w:color w:val="auto"/>
                <w:sz w:val="21"/>
                <w:szCs w:val="21"/>
              </w:rPr>
              <w:t>按第一篇“三、投标人资格要求（三）本项目的特定资格要求”的要求提交（如果有）。</w:t>
            </w:r>
          </w:p>
        </w:tc>
      </w:tr>
      <w:tr w14:paraId="0E44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A8D168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（二）</w:t>
            </w:r>
          </w:p>
        </w:tc>
        <w:tc>
          <w:tcPr>
            <w:tcW w:w="3827" w:type="dxa"/>
            <w:gridSpan w:val="2"/>
            <w:vAlign w:val="center"/>
          </w:tcPr>
          <w:p w14:paraId="4FA21C10">
            <w:pPr>
              <w:rPr>
                <w:rFonts w:hint="eastAsia" w:ascii="宋体" w:hAnsi="宋体" w:eastAsia="宋体" w:cs="宋体"/>
                <w:color w:val="auto"/>
                <w:sz w:val="21"/>
                <w:szCs w:val="21"/>
              </w:rPr>
            </w:pPr>
            <w:r>
              <w:rPr>
                <w:rFonts w:hint="eastAsia" w:ascii="宋体" w:hAnsi="宋体" w:eastAsia="宋体" w:cs="宋体"/>
                <w:color w:val="auto"/>
                <w:sz w:val="21"/>
                <w:szCs w:val="21"/>
              </w:rPr>
              <w:t>落实政府采购政策需满足的资格要求</w:t>
            </w:r>
          </w:p>
        </w:tc>
        <w:tc>
          <w:tcPr>
            <w:tcW w:w="4984" w:type="dxa"/>
            <w:vAlign w:val="center"/>
          </w:tcPr>
          <w:p w14:paraId="0D714DD3">
            <w:pPr>
              <w:rPr>
                <w:rFonts w:hint="eastAsia" w:ascii="宋体" w:hAnsi="宋体" w:eastAsia="宋体" w:cs="宋体"/>
                <w:color w:val="auto"/>
                <w:sz w:val="21"/>
                <w:szCs w:val="21"/>
              </w:rPr>
            </w:pPr>
            <w:r>
              <w:rPr>
                <w:rFonts w:hint="eastAsia" w:ascii="宋体" w:hAnsi="宋体" w:eastAsia="宋体" w:cs="宋体"/>
                <w:color w:val="auto"/>
                <w:sz w:val="21"/>
                <w:szCs w:val="21"/>
              </w:rPr>
              <w:t>按第一篇“三、投标人资格要求（二）落实政府采购政策需满足的资格要求”的要求提交（如果有）。</w:t>
            </w:r>
          </w:p>
        </w:tc>
      </w:tr>
      <w:tr w14:paraId="132A4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14:paraId="19579C6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（三）</w:t>
            </w:r>
          </w:p>
        </w:tc>
        <w:tc>
          <w:tcPr>
            <w:tcW w:w="3827" w:type="dxa"/>
            <w:gridSpan w:val="2"/>
            <w:vAlign w:val="center"/>
          </w:tcPr>
          <w:p w14:paraId="06F86232">
            <w:pPr>
              <w:rPr>
                <w:rFonts w:hint="eastAsia" w:ascii="宋体" w:hAnsi="宋体" w:eastAsia="宋体" w:cs="宋体"/>
                <w:color w:val="auto"/>
                <w:sz w:val="21"/>
                <w:szCs w:val="21"/>
              </w:rPr>
            </w:pPr>
            <w:r>
              <w:rPr>
                <w:rFonts w:hint="eastAsia" w:ascii="宋体" w:hAnsi="宋体" w:eastAsia="宋体" w:cs="宋体"/>
                <w:color w:val="auto"/>
                <w:sz w:val="21"/>
                <w:szCs w:val="21"/>
              </w:rPr>
              <w:t>投标保证金</w:t>
            </w:r>
          </w:p>
        </w:tc>
        <w:tc>
          <w:tcPr>
            <w:tcW w:w="4984" w:type="dxa"/>
            <w:vAlign w:val="center"/>
          </w:tcPr>
          <w:p w14:paraId="632D998B">
            <w:pPr>
              <w:rPr>
                <w:rFonts w:hint="eastAsia" w:ascii="宋体" w:hAnsi="宋体" w:eastAsia="宋体" w:cs="宋体"/>
                <w:color w:val="auto"/>
                <w:sz w:val="21"/>
                <w:szCs w:val="21"/>
              </w:rPr>
            </w:pPr>
            <w:r>
              <w:rPr>
                <w:rFonts w:hint="eastAsia" w:ascii="宋体" w:hAnsi="宋体" w:eastAsia="宋体" w:cs="宋体"/>
                <w:color w:val="auto"/>
                <w:sz w:val="21"/>
                <w:szCs w:val="21"/>
              </w:rPr>
              <w:t>按照招标文件要求足额交纳所投包的投标保证金。</w:t>
            </w:r>
          </w:p>
        </w:tc>
      </w:tr>
    </w:tbl>
    <w:p w14:paraId="019CA4CF">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w:t>
      </w:r>
    </w:p>
    <w:p w14:paraId="27DA1AA0">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fldChar w:fldCharType="begin"/>
      </w:r>
      <w:r>
        <w:rPr>
          <w:rFonts w:hint="eastAsia" w:ascii="宋体" w:hAnsi="宋体" w:eastAsia="宋体" w:cs="宋体"/>
          <w:color w:val="auto"/>
          <w:kern w:val="0"/>
          <w:sz w:val="24"/>
          <w:szCs w:val="24"/>
        </w:rPr>
        <w:instrText xml:space="preserve"> eq \o\ac(○,</w:instrText>
      </w:r>
      <w:r>
        <w:rPr>
          <w:rFonts w:hint="eastAsia" w:ascii="宋体" w:hAnsi="宋体" w:eastAsia="宋体" w:cs="宋体"/>
          <w:color w:val="auto"/>
          <w:kern w:val="0"/>
          <w:position w:val="3"/>
          <w:sz w:val="16"/>
          <w:szCs w:val="24"/>
        </w:rPr>
        <w:instrText xml:space="preserve">1</w:instrText>
      </w:r>
      <w:r>
        <w:rPr>
          <w:rFonts w:hint="eastAsia" w:ascii="宋体" w:hAnsi="宋体" w:eastAsia="宋体" w:cs="宋体"/>
          <w:color w:val="auto"/>
          <w:kern w:val="0"/>
          <w:sz w:val="24"/>
          <w:szCs w:val="24"/>
        </w:rPr>
        <w:instrText xml:space="preserve">)</w:instrText>
      </w:r>
      <w:r>
        <w:rPr>
          <w:rFonts w:hint="eastAsia" w:ascii="宋体" w:hAnsi="宋体" w:eastAsia="宋体" w:cs="宋体"/>
          <w:color w:val="auto"/>
          <w:kern w:val="0"/>
          <w:sz w:val="24"/>
          <w:szCs w:val="24"/>
        </w:rPr>
        <w:fldChar w:fldCharType="end"/>
      </w:r>
      <w:r>
        <w:rPr>
          <w:rFonts w:hint="eastAsia" w:ascii="宋体" w:hAnsi="宋体" w:eastAsia="宋体" w:cs="宋体"/>
          <w:color w:val="auto"/>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328BBED7">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b/>
          <w:color w:val="auto"/>
          <w:kern w:val="0"/>
          <w:sz w:val="24"/>
          <w:szCs w:val="24"/>
        </w:rPr>
        <w:t>二</w:t>
      </w:r>
      <w:r>
        <w:rPr>
          <w:rFonts w:hint="eastAsia" w:ascii="宋体" w:hAnsi="宋体" w:eastAsia="宋体" w:cs="宋体"/>
          <w:color w:val="auto"/>
          <w:kern w:val="0"/>
          <w:sz w:val="24"/>
          <w:szCs w:val="24"/>
        </w:rPr>
        <w:t>）符合性审查</w:t>
      </w:r>
    </w:p>
    <w:p w14:paraId="286D3FFD">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评标委员会应当对符合资格的投标人的投标文件进行符合性审查，以确定其是否满足招标文件的实质性要求。符合性审查资料表如下：</w:t>
      </w:r>
    </w:p>
    <w:tbl>
      <w:tblPr>
        <w:tblStyle w:val="59"/>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14:paraId="56AC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2C13E1D8">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序号</w:t>
            </w:r>
          </w:p>
        </w:tc>
        <w:tc>
          <w:tcPr>
            <w:tcW w:w="3119" w:type="dxa"/>
            <w:gridSpan w:val="2"/>
            <w:vAlign w:val="center"/>
          </w:tcPr>
          <w:p w14:paraId="00999839">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评审因素</w:t>
            </w:r>
          </w:p>
        </w:tc>
        <w:tc>
          <w:tcPr>
            <w:tcW w:w="5836" w:type="dxa"/>
            <w:vAlign w:val="center"/>
          </w:tcPr>
          <w:p w14:paraId="3F13E6DB">
            <w:pPr>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评审标准</w:t>
            </w:r>
          </w:p>
        </w:tc>
      </w:tr>
      <w:tr w14:paraId="534B5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14:paraId="599E8211">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1562" w:type="dxa"/>
            <w:vMerge w:val="restart"/>
            <w:vAlign w:val="center"/>
          </w:tcPr>
          <w:p w14:paraId="4762FA7E">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有效性审查</w:t>
            </w:r>
          </w:p>
        </w:tc>
        <w:tc>
          <w:tcPr>
            <w:tcW w:w="1557" w:type="dxa"/>
            <w:vAlign w:val="center"/>
          </w:tcPr>
          <w:p w14:paraId="410C245B">
            <w:pPr>
              <w:rPr>
                <w:rFonts w:hint="eastAsia" w:ascii="宋体" w:hAnsi="宋体" w:eastAsia="宋体" w:cs="宋体"/>
                <w:color w:val="auto"/>
                <w:kern w:val="0"/>
                <w:sz w:val="21"/>
                <w:szCs w:val="21"/>
              </w:rPr>
            </w:pPr>
            <w:r>
              <w:rPr>
                <w:rFonts w:hint="eastAsia" w:ascii="宋体" w:hAnsi="宋体" w:eastAsia="宋体" w:cs="宋体"/>
                <w:color w:val="auto"/>
                <w:sz w:val="21"/>
                <w:szCs w:val="21"/>
              </w:rPr>
              <w:t>投标文件签署或盖章</w:t>
            </w:r>
          </w:p>
        </w:tc>
        <w:tc>
          <w:tcPr>
            <w:tcW w:w="5836" w:type="dxa"/>
            <w:vAlign w:val="center"/>
          </w:tcPr>
          <w:p w14:paraId="3C0EFAA9">
            <w:pPr>
              <w:rPr>
                <w:rFonts w:hint="eastAsia" w:ascii="宋体" w:hAnsi="宋体" w:eastAsia="宋体" w:cs="宋体"/>
                <w:color w:val="auto"/>
                <w:kern w:val="0"/>
                <w:sz w:val="21"/>
                <w:szCs w:val="21"/>
              </w:rPr>
            </w:pPr>
            <w:r>
              <w:rPr>
                <w:rFonts w:hint="eastAsia" w:ascii="宋体" w:hAnsi="宋体" w:eastAsia="宋体" w:cs="宋体"/>
                <w:color w:val="auto"/>
                <w:sz w:val="21"/>
                <w:szCs w:val="21"/>
              </w:rPr>
              <w:t>投标文件上法定代表人（或其授权代表）或自然人（投标人为自然人）的签署或盖章齐全。</w:t>
            </w:r>
          </w:p>
        </w:tc>
      </w:tr>
      <w:tr w14:paraId="70FA8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31C61E8E">
            <w:pPr>
              <w:jc w:val="center"/>
              <w:rPr>
                <w:rFonts w:hint="eastAsia" w:ascii="宋体" w:hAnsi="宋体" w:eastAsia="宋体" w:cs="宋体"/>
                <w:color w:val="auto"/>
                <w:kern w:val="0"/>
                <w:sz w:val="21"/>
                <w:szCs w:val="21"/>
              </w:rPr>
            </w:pPr>
          </w:p>
        </w:tc>
        <w:tc>
          <w:tcPr>
            <w:tcW w:w="1562" w:type="dxa"/>
            <w:vMerge w:val="continue"/>
            <w:vAlign w:val="center"/>
          </w:tcPr>
          <w:p w14:paraId="6B65BF49">
            <w:pPr>
              <w:rPr>
                <w:rFonts w:hint="eastAsia" w:ascii="宋体" w:hAnsi="宋体" w:eastAsia="宋体" w:cs="宋体"/>
                <w:color w:val="auto"/>
                <w:kern w:val="0"/>
                <w:sz w:val="21"/>
                <w:szCs w:val="21"/>
              </w:rPr>
            </w:pPr>
          </w:p>
        </w:tc>
        <w:tc>
          <w:tcPr>
            <w:tcW w:w="1557" w:type="dxa"/>
            <w:vAlign w:val="center"/>
          </w:tcPr>
          <w:p w14:paraId="603FD06A">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投标方案</w:t>
            </w:r>
          </w:p>
        </w:tc>
        <w:tc>
          <w:tcPr>
            <w:tcW w:w="5836" w:type="dxa"/>
            <w:vAlign w:val="center"/>
          </w:tcPr>
          <w:p w14:paraId="1B0B691D">
            <w:pPr>
              <w:rPr>
                <w:rFonts w:hint="eastAsia" w:ascii="宋体" w:hAnsi="宋体" w:eastAsia="宋体" w:cs="宋体"/>
                <w:color w:val="auto"/>
                <w:kern w:val="0"/>
                <w:sz w:val="21"/>
                <w:szCs w:val="21"/>
              </w:rPr>
            </w:pPr>
            <w:r>
              <w:rPr>
                <w:rFonts w:hint="eastAsia" w:ascii="宋体" w:hAnsi="宋体" w:eastAsia="宋体" w:cs="宋体"/>
                <w:color w:val="auto"/>
                <w:sz w:val="21"/>
                <w:szCs w:val="21"/>
                <w:lang w:val="zh-CN"/>
              </w:rPr>
              <w:t>每个包只能有一个方案投标。</w:t>
            </w:r>
          </w:p>
        </w:tc>
      </w:tr>
      <w:tr w14:paraId="55F0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14:paraId="0633C389">
            <w:pPr>
              <w:jc w:val="center"/>
              <w:rPr>
                <w:rFonts w:hint="eastAsia" w:ascii="宋体" w:hAnsi="宋体" w:eastAsia="宋体" w:cs="宋体"/>
                <w:color w:val="auto"/>
                <w:kern w:val="0"/>
                <w:sz w:val="21"/>
                <w:szCs w:val="21"/>
              </w:rPr>
            </w:pPr>
          </w:p>
        </w:tc>
        <w:tc>
          <w:tcPr>
            <w:tcW w:w="1562" w:type="dxa"/>
            <w:vMerge w:val="continue"/>
            <w:vAlign w:val="center"/>
          </w:tcPr>
          <w:p w14:paraId="07C05C1E">
            <w:pPr>
              <w:rPr>
                <w:rFonts w:hint="eastAsia" w:ascii="宋体" w:hAnsi="宋体" w:eastAsia="宋体" w:cs="宋体"/>
                <w:color w:val="auto"/>
                <w:kern w:val="0"/>
                <w:sz w:val="21"/>
                <w:szCs w:val="21"/>
              </w:rPr>
            </w:pPr>
          </w:p>
        </w:tc>
        <w:tc>
          <w:tcPr>
            <w:tcW w:w="1557" w:type="dxa"/>
            <w:vAlign w:val="center"/>
          </w:tcPr>
          <w:p w14:paraId="0C34D737">
            <w:pPr>
              <w:rPr>
                <w:rFonts w:hint="eastAsia" w:ascii="宋体" w:hAnsi="宋体" w:eastAsia="宋体" w:cs="宋体"/>
                <w:color w:val="auto"/>
                <w:sz w:val="21"/>
                <w:szCs w:val="21"/>
                <w:lang w:val="zh-CN"/>
              </w:rPr>
            </w:pPr>
            <w:r>
              <w:rPr>
                <w:rFonts w:hint="eastAsia" w:ascii="宋体" w:hAnsi="宋体" w:eastAsia="宋体" w:cs="宋体"/>
                <w:color w:val="auto"/>
                <w:sz w:val="21"/>
                <w:szCs w:val="21"/>
              </w:rPr>
              <w:t>报价唯一</w:t>
            </w:r>
          </w:p>
        </w:tc>
        <w:tc>
          <w:tcPr>
            <w:tcW w:w="5836" w:type="dxa"/>
            <w:vAlign w:val="center"/>
          </w:tcPr>
          <w:p w14:paraId="2F599EEA">
            <w:pPr>
              <w:rPr>
                <w:rFonts w:hint="eastAsia" w:ascii="宋体" w:hAnsi="宋体" w:eastAsia="宋体" w:cs="宋体"/>
                <w:color w:val="auto"/>
                <w:kern w:val="0"/>
                <w:sz w:val="21"/>
                <w:szCs w:val="21"/>
              </w:rPr>
            </w:pPr>
            <w:r>
              <w:rPr>
                <w:rFonts w:hint="eastAsia" w:ascii="宋体" w:hAnsi="宋体" w:eastAsia="宋体" w:cs="宋体"/>
                <w:color w:val="auto"/>
                <w:sz w:val="21"/>
                <w:szCs w:val="21"/>
                <w:lang w:val="zh-CN"/>
              </w:rPr>
              <w:t>只能在预算金额和最高限价内报价，</w:t>
            </w:r>
            <w:r>
              <w:rPr>
                <w:rFonts w:hint="eastAsia" w:ascii="宋体" w:hAnsi="宋体" w:eastAsia="宋体" w:cs="宋体"/>
                <w:color w:val="auto"/>
                <w:sz w:val="21"/>
                <w:szCs w:val="21"/>
              </w:rPr>
              <w:t>只能有一个有效报价，不得提交选择性报价。</w:t>
            </w:r>
          </w:p>
        </w:tc>
      </w:tr>
      <w:tr w14:paraId="2CB13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vAlign w:val="center"/>
          </w:tcPr>
          <w:p w14:paraId="70489F4E">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p>
        </w:tc>
        <w:tc>
          <w:tcPr>
            <w:tcW w:w="1562" w:type="dxa"/>
            <w:vAlign w:val="center"/>
          </w:tcPr>
          <w:p w14:paraId="263E23BF">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完整性审查</w:t>
            </w:r>
          </w:p>
        </w:tc>
        <w:tc>
          <w:tcPr>
            <w:tcW w:w="1557" w:type="dxa"/>
            <w:vAlign w:val="center"/>
          </w:tcPr>
          <w:p w14:paraId="3CFF0A89">
            <w:pPr>
              <w:rPr>
                <w:rFonts w:hint="eastAsia" w:ascii="宋体" w:hAnsi="宋体" w:eastAsia="宋体" w:cs="宋体"/>
                <w:color w:val="auto"/>
                <w:kern w:val="0"/>
                <w:sz w:val="21"/>
                <w:szCs w:val="21"/>
              </w:rPr>
            </w:pPr>
            <w:r>
              <w:rPr>
                <w:rFonts w:hint="eastAsia" w:ascii="宋体" w:hAnsi="宋体" w:eastAsia="宋体" w:cs="宋体"/>
                <w:color w:val="auto"/>
                <w:sz w:val="21"/>
                <w:szCs w:val="21"/>
                <w:lang w:val="zh-CN"/>
              </w:rPr>
              <w:t>投标文件份数</w:t>
            </w:r>
          </w:p>
        </w:tc>
        <w:tc>
          <w:tcPr>
            <w:tcW w:w="5836" w:type="dxa"/>
            <w:vAlign w:val="center"/>
          </w:tcPr>
          <w:p w14:paraId="61966BFD">
            <w:pPr>
              <w:rPr>
                <w:rFonts w:hint="eastAsia" w:ascii="宋体" w:hAnsi="宋体" w:eastAsia="宋体" w:cs="宋体"/>
                <w:color w:val="auto"/>
                <w:kern w:val="0"/>
                <w:sz w:val="21"/>
                <w:szCs w:val="21"/>
              </w:rPr>
            </w:pPr>
            <w:r>
              <w:rPr>
                <w:rFonts w:hint="eastAsia" w:ascii="宋体" w:hAnsi="宋体" w:eastAsia="宋体" w:cs="宋体"/>
                <w:color w:val="auto"/>
                <w:sz w:val="21"/>
                <w:szCs w:val="21"/>
                <w:lang w:val="zh-CN"/>
              </w:rPr>
              <w:t>投标文件正、副本数量（含电子文档）符合招标文件要求。</w:t>
            </w:r>
          </w:p>
        </w:tc>
      </w:tr>
      <w:tr w14:paraId="0841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Align w:val="center"/>
          </w:tcPr>
          <w:p w14:paraId="16EE62FF">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p>
        </w:tc>
        <w:tc>
          <w:tcPr>
            <w:tcW w:w="1562" w:type="dxa"/>
            <w:vAlign w:val="center"/>
          </w:tcPr>
          <w:p w14:paraId="6404941F">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技术部分</w:t>
            </w:r>
          </w:p>
        </w:tc>
        <w:tc>
          <w:tcPr>
            <w:tcW w:w="1557" w:type="dxa"/>
            <w:vAlign w:val="center"/>
          </w:tcPr>
          <w:p w14:paraId="0CAD0191">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投标文件内容</w:t>
            </w:r>
          </w:p>
        </w:tc>
        <w:tc>
          <w:tcPr>
            <w:tcW w:w="5836" w:type="dxa"/>
            <w:vAlign w:val="center"/>
          </w:tcPr>
          <w:p w14:paraId="7D65ED84">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本招标文件第二篇中（※）号标注的部分。</w:t>
            </w:r>
          </w:p>
        </w:tc>
      </w:tr>
      <w:tr w14:paraId="3EC9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vAlign w:val="center"/>
          </w:tcPr>
          <w:p w14:paraId="39B7AE6D">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p>
        </w:tc>
        <w:tc>
          <w:tcPr>
            <w:tcW w:w="1562" w:type="dxa"/>
            <w:vAlign w:val="center"/>
          </w:tcPr>
          <w:p w14:paraId="2705BBE5">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商务部分</w:t>
            </w:r>
          </w:p>
        </w:tc>
        <w:tc>
          <w:tcPr>
            <w:tcW w:w="1557" w:type="dxa"/>
            <w:vAlign w:val="center"/>
          </w:tcPr>
          <w:p w14:paraId="4B0A594A">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投标文件内容</w:t>
            </w:r>
          </w:p>
        </w:tc>
        <w:tc>
          <w:tcPr>
            <w:tcW w:w="5836" w:type="dxa"/>
            <w:vAlign w:val="center"/>
          </w:tcPr>
          <w:p w14:paraId="7CB023E2">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本招标文件第三篇中（※）号标注的部分。</w:t>
            </w:r>
          </w:p>
        </w:tc>
      </w:tr>
      <w:tr w14:paraId="3F9BB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vAlign w:val="center"/>
          </w:tcPr>
          <w:p w14:paraId="2E8B1508">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p>
        </w:tc>
        <w:tc>
          <w:tcPr>
            <w:tcW w:w="1562" w:type="dxa"/>
            <w:vAlign w:val="center"/>
          </w:tcPr>
          <w:p w14:paraId="16106C0B">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投标有效期</w:t>
            </w:r>
          </w:p>
        </w:tc>
        <w:tc>
          <w:tcPr>
            <w:tcW w:w="1557" w:type="dxa"/>
            <w:vAlign w:val="center"/>
          </w:tcPr>
          <w:p w14:paraId="4EB45CE4">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投标文件内容</w:t>
            </w:r>
          </w:p>
        </w:tc>
        <w:tc>
          <w:tcPr>
            <w:tcW w:w="5836" w:type="dxa"/>
            <w:vAlign w:val="center"/>
          </w:tcPr>
          <w:p w14:paraId="46899A71">
            <w:pP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投标有效期为投标截止时间起90天。</w:t>
            </w:r>
          </w:p>
        </w:tc>
      </w:tr>
    </w:tbl>
    <w:p w14:paraId="5B04B5BB">
      <w:pPr>
        <w:pStyle w:val="3"/>
        <w:spacing w:line="400" w:lineRule="exact"/>
        <w:ind w:firstLine="482" w:firstLineChars="200"/>
        <w:rPr>
          <w:rFonts w:hint="eastAsia" w:ascii="宋体" w:hAnsi="宋体" w:eastAsia="宋体" w:cs="宋体"/>
          <w:b/>
          <w:color w:val="auto"/>
          <w:sz w:val="24"/>
          <w:szCs w:val="24"/>
        </w:rPr>
      </w:pPr>
      <w:bookmarkStart w:id="407" w:name="_Toc27633"/>
      <w:bookmarkStart w:id="408" w:name="_Toc27015"/>
      <w:bookmarkStart w:id="409" w:name="_Toc30717"/>
      <w:bookmarkStart w:id="410" w:name="_Toc5620"/>
      <w:bookmarkStart w:id="411" w:name="_Toc20171"/>
      <w:bookmarkStart w:id="412" w:name="_Toc75793519"/>
      <w:bookmarkStart w:id="413" w:name="_Toc29140"/>
      <w:bookmarkStart w:id="414" w:name="_Toc28549"/>
      <w:bookmarkStart w:id="415" w:name="_Toc9094"/>
      <w:bookmarkStart w:id="416" w:name="_Toc25341"/>
      <w:bookmarkStart w:id="417" w:name="_Toc31997"/>
      <w:bookmarkStart w:id="418" w:name="_Toc21650"/>
      <w:bookmarkStart w:id="419" w:name="_Toc14824"/>
      <w:bookmarkStart w:id="420" w:name="_Toc30011"/>
      <w:bookmarkStart w:id="421" w:name="_Toc26796"/>
      <w:bookmarkStart w:id="422" w:name="_Toc10522"/>
      <w:bookmarkStart w:id="423" w:name="_Toc8662"/>
      <w:r>
        <w:rPr>
          <w:rFonts w:hint="eastAsia" w:ascii="宋体" w:hAnsi="宋体" w:eastAsia="宋体" w:cs="宋体"/>
          <w:b/>
          <w:color w:val="auto"/>
          <w:sz w:val="24"/>
          <w:szCs w:val="24"/>
        </w:rPr>
        <w:t>二、评标方法</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5A5C19E3">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本项目采用综合评分法进行评标。</w:t>
      </w:r>
    </w:p>
    <w:p w14:paraId="181B3BD8">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另有</w:t>
      </w: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分为政策性加分。</w:t>
      </w:r>
    </w:p>
    <w:p w14:paraId="64531947">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或自然人（投标人为自然人）签字，其澄清的内容不得超出投标文件的范围或者改变投标文件的实质性内容。</w:t>
      </w:r>
    </w:p>
    <w:p w14:paraId="0ECB636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（一）比较与评价。按招标文件中规定的评标方法和标准，对资格审查和符合性审查合格的投标文件进行商务和技术评估。</w:t>
      </w:r>
    </w:p>
    <w:p w14:paraId="5185718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05C2482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3277BA9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复核后，评标委员会汇总每个投标人每项评分因素的得分。</w:t>
      </w:r>
    </w:p>
    <w:p w14:paraId="15FD8D97">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（二）推荐中标候选人名单。</w:t>
      </w:r>
    </w:p>
    <w:p w14:paraId="07D2E3CF">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14:paraId="277921CD">
      <w:pPr>
        <w:pStyle w:val="3"/>
        <w:spacing w:line="400" w:lineRule="exact"/>
        <w:ind w:firstLine="482" w:firstLineChars="200"/>
        <w:rPr>
          <w:rFonts w:hint="eastAsia" w:ascii="宋体" w:hAnsi="宋体" w:eastAsia="宋体" w:cs="宋体"/>
          <w:b/>
          <w:color w:val="auto"/>
          <w:sz w:val="24"/>
          <w:szCs w:val="24"/>
        </w:rPr>
      </w:pPr>
      <w:bookmarkStart w:id="424" w:name="_Toc20875"/>
      <w:bookmarkStart w:id="425" w:name="_Toc15716"/>
      <w:bookmarkStart w:id="426" w:name="_Toc5799"/>
      <w:bookmarkStart w:id="427" w:name="_Toc4511"/>
      <w:bookmarkStart w:id="428" w:name="_Toc17116"/>
      <w:bookmarkStart w:id="429" w:name="_Toc17311"/>
      <w:bookmarkStart w:id="430" w:name="_Toc6342"/>
      <w:bookmarkStart w:id="431" w:name="_Toc1055"/>
      <w:bookmarkStart w:id="432" w:name="_Toc20699"/>
      <w:bookmarkStart w:id="433" w:name="_Toc75793520"/>
      <w:bookmarkStart w:id="434" w:name="_Toc20800"/>
      <w:bookmarkStart w:id="435" w:name="_Toc19924"/>
      <w:bookmarkStart w:id="436" w:name="_Toc15006"/>
      <w:bookmarkStart w:id="437" w:name="_Toc25814"/>
      <w:bookmarkStart w:id="438" w:name="_Toc22772"/>
      <w:bookmarkStart w:id="439" w:name="_Toc20354"/>
      <w:bookmarkStart w:id="440" w:name="_Toc267320057"/>
      <w:bookmarkStart w:id="441" w:name="_Toc21357"/>
      <w:r>
        <w:rPr>
          <w:rFonts w:hint="eastAsia" w:ascii="宋体" w:hAnsi="宋体" w:eastAsia="宋体" w:cs="宋体"/>
          <w:b/>
          <w:color w:val="auto"/>
          <w:sz w:val="24"/>
          <w:szCs w:val="24"/>
        </w:rPr>
        <w:t>三、评标标准</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588E51F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（一）评审因素</w:t>
      </w:r>
    </w:p>
    <w:tbl>
      <w:tblPr>
        <w:tblStyle w:val="59"/>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861"/>
        <w:gridCol w:w="948"/>
        <w:gridCol w:w="743"/>
        <w:gridCol w:w="3753"/>
        <w:gridCol w:w="1769"/>
      </w:tblGrid>
      <w:tr w14:paraId="00BF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36324DA4">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809" w:type="dxa"/>
            <w:gridSpan w:val="2"/>
            <w:vAlign w:val="center"/>
          </w:tcPr>
          <w:p w14:paraId="38D5B475">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评分因素</w:t>
            </w:r>
          </w:p>
          <w:p w14:paraId="2839ECD9">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及权重</w:t>
            </w:r>
          </w:p>
        </w:tc>
        <w:tc>
          <w:tcPr>
            <w:tcW w:w="743" w:type="dxa"/>
            <w:vAlign w:val="center"/>
          </w:tcPr>
          <w:p w14:paraId="3B4B63E7">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分值</w:t>
            </w:r>
          </w:p>
        </w:tc>
        <w:tc>
          <w:tcPr>
            <w:tcW w:w="3753" w:type="dxa"/>
            <w:vAlign w:val="center"/>
          </w:tcPr>
          <w:p w14:paraId="7B0D74A0">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评分标准</w:t>
            </w:r>
          </w:p>
        </w:tc>
        <w:tc>
          <w:tcPr>
            <w:tcW w:w="1769" w:type="dxa"/>
            <w:vAlign w:val="center"/>
          </w:tcPr>
          <w:p w14:paraId="4CEED19F">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说明</w:t>
            </w:r>
          </w:p>
        </w:tc>
      </w:tr>
      <w:tr w14:paraId="52BB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15BB4AA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809" w:type="dxa"/>
            <w:gridSpan w:val="2"/>
            <w:vAlign w:val="center"/>
          </w:tcPr>
          <w:p w14:paraId="43AFA89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投标报价</w:t>
            </w:r>
          </w:p>
          <w:p w14:paraId="57AB3EA0">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743" w:type="dxa"/>
            <w:vAlign w:val="center"/>
          </w:tcPr>
          <w:p w14:paraId="2D04104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3753" w:type="dxa"/>
            <w:vAlign w:val="center"/>
          </w:tcPr>
          <w:p w14:paraId="5134B39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有效的投标报价中的最低价为评标基准价，其价格分为满分。其他投标人的价格分统一按照下列公式计算：</w:t>
            </w:r>
          </w:p>
          <w:p w14:paraId="39B4337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投标报价得分＝（评标基准价/投标报价）×价格权重×100。</w:t>
            </w:r>
          </w:p>
        </w:tc>
        <w:tc>
          <w:tcPr>
            <w:tcW w:w="1769" w:type="dxa"/>
            <w:vAlign w:val="center"/>
          </w:tcPr>
          <w:p w14:paraId="78E6074C">
            <w:pPr>
              <w:spacing w:line="240" w:lineRule="auto"/>
              <w:jc w:val="center"/>
              <w:rPr>
                <w:rFonts w:hint="eastAsia" w:ascii="宋体" w:hAnsi="宋体" w:eastAsia="宋体" w:cs="宋体"/>
                <w:color w:val="auto"/>
                <w:sz w:val="21"/>
                <w:szCs w:val="21"/>
              </w:rPr>
            </w:pPr>
          </w:p>
        </w:tc>
      </w:tr>
      <w:tr w14:paraId="3DA1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restart"/>
            <w:vAlign w:val="center"/>
          </w:tcPr>
          <w:p w14:paraId="090F3FDE">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861" w:type="dxa"/>
            <w:vMerge w:val="restart"/>
            <w:vAlign w:val="center"/>
          </w:tcPr>
          <w:p w14:paraId="524EE93B">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w:t>
            </w:r>
          </w:p>
          <w:p w14:paraId="65AF2552">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部分</w:t>
            </w:r>
          </w:p>
          <w:p w14:paraId="3ED4788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w:t>
            </w:r>
          </w:p>
        </w:tc>
        <w:tc>
          <w:tcPr>
            <w:tcW w:w="948" w:type="dxa"/>
            <w:vAlign w:val="center"/>
          </w:tcPr>
          <w:p w14:paraId="52DD94B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技术参数及响应程度</w:t>
            </w:r>
          </w:p>
          <w:p w14:paraId="42127E9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35</w:t>
            </w:r>
            <w:r>
              <w:rPr>
                <w:rFonts w:hint="eastAsia" w:ascii="宋体" w:hAnsi="宋体" w:eastAsia="宋体" w:cs="宋体"/>
                <w:color w:val="auto"/>
                <w:sz w:val="21"/>
                <w:szCs w:val="21"/>
                <w:highlight w:val="none"/>
                <w:lang w:val="en-US" w:eastAsia="zh-CN"/>
              </w:rPr>
              <w:t>%）</w:t>
            </w:r>
          </w:p>
        </w:tc>
        <w:tc>
          <w:tcPr>
            <w:tcW w:w="743" w:type="dxa"/>
            <w:vAlign w:val="center"/>
          </w:tcPr>
          <w:p w14:paraId="46223D93">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35</w:t>
            </w:r>
          </w:p>
        </w:tc>
        <w:tc>
          <w:tcPr>
            <w:tcW w:w="3753" w:type="dxa"/>
            <w:vAlign w:val="center"/>
          </w:tcPr>
          <w:p w14:paraId="4DFF961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技术响应（</w:t>
            </w:r>
            <w:r>
              <w:rPr>
                <w:rFonts w:hint="eastAsia" w:ascii="宋体" w:hAnsi="宋体" w:cs="宋体"/>
                <w:color w:val="auto"/>
                <w:sz w:val="21"/>
                <w:szCs w:val="21"/>
                <w:highlight w:val="none"/>
                <w:lang w:val="en-US" w:eastAsia="zh-CN"/>
              </w:rPr>
              <w:t>35</w:t>
            </w:r>
            <w:r>
              <w:rPr>
                <w:rFonts w:hint="eastAsia" w:ascii="宋体" w:hAnsi="宋体" w:eastAsia="宋体" w:cs="宋体"/>
                <w:color w:val="auto"/>
                <w:sz w:val="21"/>
                <w:szCs w:val="21"/>
                <w:highlight w:val="none"/>
              </w:rPr>
              <w:t>分）</w:t>
            </w:r>
          </w:p>
          <w:p w14:paraId="574BEDE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1、有效投标人的起评分为</w:t>
            </w:r>
            <w:r>
              <w:rPr>
                <w:rFonts w:hint="eastAsia" w:ascii="宋体" w:hAnsi="宋体" w:cs="宋体"/>
                <w:color w:val="auto"/>
                <w:sz w:val="21"/>
                <w:szCs w:val="21"/>
                <w:highlight w:val="none"/>
                <w:lang w:val="en-US" w:eastAsia="zh-CN"/>
              </w:rPr>
              <w:t>35</w:t>
            </w:r>
            <w:r>
              <w:rPr>
                <w:rFonts w:hint="eastAsia" w:ascii="宋体" w:hAnsi="宋体" w:eastAsia="宋体" w:cs="宋体"/>
                <w:color w:val="auto"/>
                <w:sz w:val="21"/>
                <w:szCs w:val="21"/>
                <w:highlight w:val="none"/>
              </w:rPr>
              <w:t>分。</w:t>
            </w:r>
          </w:p>
          <w:p w14:paraId="1FAE9B3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2、扣分条款：</w:t>
            </w:r>
          </w:p>
          <w:p w14:paraId="1E9A9CFF">
            <w:pPr>
              <w:rPr>
                <w:rFonts w:hint="eastAsia"/>
                <w:lang w:val="en-US" w:eastAsia="zh-CN"/>
              </w:rPr>
            </w:pPr>
            <w:r>
              <w:rPr>
                <w:rFonts w:hint="eastAsia" w:ascii="宋体" w:hAnsi="宋体" w:eastAsia="宋体" w:cs="宋体"/>
                <w:color w:val="auto"/>
                <w:sz w:val="21"/>
                <w:szCs w:val="21"/>
                <w:highlight w:val="none"/>
              </w:rPr>
              <w:t>2.1投标应答有一条不满足重要技术需求的（招标文件第二篇中带“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”号标注的部分，共</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条），每条扣除</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1769" w:type="dxa"/>
            <w:vAlign w:val="center"/>
          </w:tcPr>
          <w:p w14:paraId="38A477A3">
            <w:pPr>
              <w:spacing w:line="240" w:lineRule="auto"/>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”号标注的</w:t>
            </w:r>
            <w:r>
              <w:rPr>
                <w:rFonts w:hint="eastAsia" w:ascii="宋体" w:hAnsi="宋体" w:cs="宋体"/>
                <w:color w:val="auto"/>
                <w:kern w:val="0"/>
                <w:sz w:val="21"/>
                <w:szCs w:val="21"/>
                <w:highlight w:val="none"/>
                <w:lang w:eastAsia="zh-CN"/>
              </w:rPr>
              <w:t>重要</w:t>
            </w:r>
            <w:r>
              <w:rPr>
                <w:rFonts w:hint="eastAsia" w:ascii="宋体" w:hAnsi="宋体" w:cs="宋体"/>
                <w:color w:val="auto"/>
                <w:kern w:val="0"/>
                <w:sz w:val="21"/>
                <w:szCs w:val="21"/>
                <w:highlight w:val="none"/>
              </w:rPr>
              <w:t>技术参数，需提供技术支撑材料。技术支撑材料可以是技术参数的彩页资料或</w:t>
            </w:r>
            <w:r>
              <w:rPr>
                <w:rFonts w:hint="eastAsia" w:ascii="宋体" w:hAnsi="宋体" w:cs="宋体"/>
                <w:color w:val="auto"/>
                <w:kern w:val="0"/>
                <w:sz w:val="21"/>
                <w:szCs w:val="21"/>
                <w:highlight w:val="none"/>
                <w:lang w:eastAsia="zh-CN"/>
              </w:rPr>
              <w:t>产品手册或产品截图</w:t>
            </w:r>
            <w:r>
              <w:rPr>
                <w:rFonts w:hint="eastAsia" w:ascii="宋体" w:hAnsi="宋体" w:cs="宋体"/>
                <w:color w:val="auto"/>
                <w:kern w:val="0"/>
                <w:sz w:val="21"/>
                <w:szCs w:val="21"/>
                <w:highlight w:val="none"/>
              </w:rPr>
              <w:t>。</w:t>
            </w:r>
          </w:p>
        </w:tc>
      </w:tr>
      <w:tr w14:paraId="6878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69C11A24">
            <w:pPr>
              <w:spacing w:line="240" w:lineRule="auto"/>
              <w:jc w:val="center"/>
              <w:rPr>
                <w:rFonts w:hint="eastAsia" w:ascii="宋体" w:hAnsi="宋体" w:eastAsia="宋体" w:cs="宋体"/>
                <w:color w:val="auto"/>
                <w:sz w:val="21"/>
                <w:szCs w:val="21"/>
                <w:highlight w:val="none"/>
              </w:rPr>
            </w:pPr>
          </w:p>
        </w:tc>
        <w:tc>
          <w:tcPr>
            <w:tcW w:w="861" w:type="dxa"/>
            <w:vMerge w:val="continue"/>
            <w:vAlign w:val="center"/>
          </w:tcPr>
          <w:p w14:paraId="4E34405B">
            <w:pPr>
              <w:spacing w:line="240" w:lineRule="auto"/>
              <w:jc w:val="center"/>
              <w:rPr>
                <w:rFonts w:hint="eastAsia" w:ascii="宋体" w:hAnsi="宋体" w:eastAsia="宋体" w:cs="宋体"/>
                <w:color w:val="auto"/>
                <w:sz w:val="21"/>
                <w:szCs w:val="21"/>
                <w:highlight w:val="none"/>
              </w:rPr>
            </w:pPr>
          </w:p>
        </w:tc>
        <w:tc>
          <w:tcPr>
            <w:tcW w:w="948" w:type="dxa"/>
            <w:vAlign w:val="center"/>
          </w:tcPr>
          <w:p w14:paraId="324B76E1">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项目实施方案</w:t>
            </w:r>
          </w:p>
          <w:p w14:paraId="6F51555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w:t>
            </w:r>
          </w:p>
        </w:tc>
        <w:tc>
          <w:tcPr>
            <w:tcW w:w="743" w:type="dxa"/>
            <w:vAlign w:val="center"/>
          </w:tcPr>
          <w:p w14:paraId="6E958C6E">
            <w:pPr>
              <w:spacing w:line="240" w:lineRule="auto"/>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lang w:val="en-US" w:eastAsia="zh-CN"/>
              </w:rPr>
              <w:t>10</w:t>
            </w:r>
          </w:p>
        </w:tc>
        <w:tc>
          <w:tcPr>
            <w:tcW w:w="3753" w:type="dxa"/>
            <w:vAlign w:val="center"/>
          </w:tcPr>
          <w:p w14:paraId="22D0A4BA">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投标人针对本项目提供项目实施方案，应当包括以下内容：①与长寿经开区新材料产业园重大安全风险防控项目-实训基地建设；②运营一体化采购项目的数据对接方案；③联调联试方案；④软硬件安装调试</w:t>
            </w:r>
            <w:r>
              <w:rPr>
                <w:rFonts w:hint="eastAsia" w:ascii="宋体" w:hAnsi="宋体" w:cs="宋体"/>
                <w:color w:val="auto"/>
                <w:sz w:val="21"/>
                <w:szCs w:val="21"/>
                <w:highlight w:val="none"/>
                <w:lang w:val="en-US" w:eastAsia="zh-CN"/>
              </w:rPr>
              <w:t>方案</w:t>
            </w:r>
            <w:r>
              <w:rPr>
                <w:rFonts w:hint="eastAsia" w:ascii="宋体" w:hAnsi="宋体" w:eastAsia="宋体" w:cs="宋体"/>
                <w:color w:val="auto"/>
                <w:sz w:val="21"/>
                <w:szCs w:val="21"/>
                <w:highlight w:val="none"/>
                <w:lang w:val="en-US" w:eastAsia="zh-CN"/>
              </w:rPr>
              <w:t>；⑤实施计划安排；⑥进度保障措施；⑦质量保障措</w:t>
            </w:r>
            <w:r>
              <w:rPr>
                <w:rFonts w:hint="eastAsia" w:ascii="宋体" w:hAnsi="宋体" w:eastAsia="宋体" w:cs="宋体"/>
                <w:color w:val="auto"/>
                <w:sz w:val="21"/>
                <w:szCs w:val="21"/>
                <w:highlight w:val="none"/>
              </w:rPr>
              <w:t>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⑧</w:t>
            </w:r>
            <w:r>
              <w:rPr>
                <w:rFonts w:hint="eastAsia" w:ascii="宋体" w:hAnsi="宋体" w:eastAsia="宋体" w:cs="宋体"/>
                <w:color w:val="auto"/>
                <w:sz w:val="21"/>
                <w:szCs w:val="21"/>
                <w:highlight w:val="none"/>
              </w:rPr>
              <w:t>人员配置</w:t>
            </w:r>
            <w:r>
              <w:rPr>
                <w:rFonts w:hint="eastAsia" w:ascii="宋体" w:hAnsi="宋体" w:eastAsia="宋体" w:cs="宋体"/>
                <w:color w:val="auto"/>
                <w:sz w:val="21"/>
                <w:szCs w:val="21"/>
                <w:highlight w:val="none"/>
                <w:lang w:eastAsia="zh-CN"/>
              </w:rPr>
              <w:t>。</w:t>
            </w:r>
          </w:p>
          <w:p w14:paraId="69ECF339">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方案内容不存在瑕疵得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w:t>
            </w:r>
          </w:p>
          <w:p w14:paraId="6FCCDC5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rPr>
              <w:t>案内容存在1处瑕疵得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37FD006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方案内容存在2处瑕疵得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3AADC24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方案内容存在</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处瑕疵得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57C269B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方案内容存在</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处及以上瑕疵得0分。</w:t>
            </w:r>
          </w:p>
        </w:tc>
        <w:tc>
          <w:tcPr>
            <w:tcW w:w="1769" w:type="dxa"/>
            <w:vMerge w:val="restart"/>
            <w:vAlign w:val="center"/>
          </w:tcPr>
          <w:p w14:paraId="57BB5123">
            <w:pPr>
              <w:spacing w:line="240" w:lineRule="auto"/>
              <w:rPr>
                <w:rFonts w:hint="eastAsia" w:ascii="宋体" w:hAnsi="宋体" w:cs="宋体"/>
                <w:color w:val="auto"/>
                <w:kern w:val="2"/>
                <w:sz w:val="21"/>
                <w:szCs w:val="21"/>
                <w:highlight w:val="none"/>
              </w:rPr>
            </w:pPr>
            <w:r>
              <w:rPr>
                <w:rFonts w:hint="eastAsia" w:ascii="宋体" w:hAnsi="宋体" w:cs="宋体"/>
                <w:color w:val="auto"/>
                <w:kern w:val="0"/>
                <w:sz w:val="21"/>
                <w:szCs w:val="21"/>
                <w:highlight w:val="none"/>
              </w:rPr>
              <w:t>提</w:t>
            </w:r>
            <w:r>
              <w:rPr>
                <w:rFonts w:hint="eastAsia" w:ascii="宋体" w:hAnsi="宋体" w:cs="宋体"/>
                <w:color w:val="auto"/>
                <w:kern w:val="2"/>
                <w:sz w:val="21"/>
                <w:szCs w:val="21"/>
                <w:highlight w:val="none"/>
              </w:rPr>
              <w:t>供相关方案，格式自定。</w:t>
            </w:r>
          </w:p>
          <w:p w14:paraId="3C62B5A8">
            <w:pPr>
              <w:spacing w:line="24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注：本项内容中所称的1处“瑕疵”：</w:t>
            </w:r>
          </w:p>
          <w:p w14:paraId="6BB52693">
            <w:pPr>
              <w:spacing w:line="24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1.方案内容缺项、内容表述不完整或缺少关键分析点；</w:t>
            </w:r>
          </w:p>
          <w:p w14:paraId="0794269D">
            <w:pPr>
              <w:spacing w:line="24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2.方案内容表述前后矛盾、无连贯性，内容存在逻辑漏洞；</w:t>
            </w:r>
          </w:p>
          <w:p w14:paraId="327348E8">
            <w:pPr>
              <w:spacing w:line="24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3.常识错误；</w:t>
            </w:r>
          </w:p>
          <w:p w14:paraId="6958AB51">
            <w:pPr>
              <w:spacing w:line="24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4.</w:t>
            </w:r>
            <w:r>
              <w:rPr>
                <w:rFonts w:hint="eastAsia" w:ascii="宋体" w:hAnsi="宋体" w:cs="宋体"/>
                <w:color w:val="auto"/>
                <w:kern w:val="2"/>
                <w:sz w:val="21"/>
                <w:szCs w:val="21"/>
                <w:highlight w:val="none"/>
                <w:lang w:val="en-US" w:eastAsia="zh-CN"/>
              </w:rPr>
              <w:t>技术</w:t>
            </w:r>
            <w:r>
              <w:rPr>
                <w:rFonts w:hint="eastAsia" w:ascii="宋体" w:hAnsi="宋体" w:cs="宋体"/>
                <w:color w:val="auto"/>
                <w:kern w:val="2"/>
                <w:sz w:val="21"/>
                <w:szCs w:val="21"/>
                <w:highlight w:val="none"/>
              </w:rPr>
              <w:t>措施保障安排并不适用本项目特性；</w:t>
            </w:r>
          </w:p>
          <w:p w14:paraId="0D85CED7">
            <w:pPr>
              <w:spacing w:line="24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5.非专门针对本项目制定；</w:t>
            </w:r>
          </w:p>
          <w:p w14:paraId="23964AC4">
            <w:pPr>
              <w:spacing w:line="24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6.方案中提出的措施举措不利于本项目目标的实现；</w:t>
            </w:r>
          </w:p>
          <w:p w14:paraId="0D684F49">
            <w:pPr>
              <w:spacing w:line="240" w:lineRule="auto"/>
              <w:rPr>
                <w:rFonts w:hint="eastAsia" w:ascii="宋体" w:hAnsi="宋体" w:cs="宋体"/>
                <w:color w:val="auto"/>
                <w:kern w:val="0"/>
                <w:sz w:val="21"/>
                <w:szCs w:val="21"/>
                <w:highlight w:val="none"/>
              </w:rPr>
            </w:pPr>
            <w:r>
              <w:rPr>
                <w:rFonts w:hint="eastAsia" w:ascii="宋体" w:hAnsi="宋体" w:cs="宋体"/>
                <w:color w:val="auto"/>
                <w:kern w:val="2"/>
                <w:sz w:val="21"/>
                <w:szCs w:val="21"/>
                <w:highlight w:val="none"/>
              </w:rPr>
              <w:t>7.现有技术条件下不可能出现的情形。</w:t>
            </w:r>
          </w:p>
        </w:tc>
      </w:tr>
      <w:tr w14:paraId="249C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225BA489">
            <w:pPr>
              <w:spacing w:line="240" w:lineRule="auto"/>
              <w:jc w:val="center"/>
              <w:rPr>
                <w:rFonts w:hint="eastAsia" w:ascii="宋体" w:hAnsi="宋体" w:eastAsia="宋体" w:cs="宋体"/>
                <w:color w:val="auto"/>
                <w:sz w:val="21"/>
                <w:szCs w:val="21"/>
                <w:highlight w:val="none"/>
              </w:rPr>
            </w:pPr>
          </w:p>
        </w:tc>
        <w:tc>
          <w:tcPr>
            <w:tcW w:w="861" w:type="dxa"/>
            <w:vMerge w:val="continue"/>
            <w:vAlign w:val="center"/>
          </w:tcPr>
          <w:p w14:paraId="5BC8EA1A">
            <w:pPr>
              <w:spacing w:line="240" w:lineRule="auto"/>
              <w:jc w:val="center"/>
              <w:rPr>
                <w:rFonts w:hint="eastAsia" w:ascii="宋体" w:hAnsi="宋体" w:eastAsia="宋体" w:cs="宋体"/>
                <w:color w:val="auto"/>
                <w:sz w:val="21"/>
                <w:szCs w:val="21"/>
                <w:highlight w:val="none"/>
              </w:rPr>
            </w:pPr>
          </w:p>
        </w:tc>
        <w:tc>
          <w:tcPr>
            <w:tcW w:w="948" w:type="dxa"/>
            <w:vAlign w:val="center"/>
          </w:tcPr>
          <w:p w14:paraId="6770DAD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培训和售后服务（5%）</w:t>
            </w:r>
          </w:p>
        </w:tc>
        <w:tc>
          <w:tcPr>
            <w:tcW w:w="743" w:type="dxa"/>
            <w:vAlign w:val="center"/>
          </w:tcPr>
          <w:p w14:paraId="70289BB2">
            <w:pPr>
              <w:spacing w:line="240" w:lineRule="auto"/>
              <w:jc w:val="center"/>
              <w:rPr>
                <w:rFonts w:hint="eastAsia" w:ascii="宋体" w:hAnsi="宋体" w:cs="宋体"/>
                <w:color w:val="auto"/>
                <w:sz w:val="21"/>
                <w:szCs w:val="21"/>
                <w:lang w:val="en-US" w:eastAsia="zh-CN"/>
              </w:rPr>
            </w:pPr>
            <w:r>
              <w:rPr>
                <w:rFonts w:hint="eastAsia" w:ascii="宋体" w:hAnsi="宋体" w:eastAsia="宋体" w:cs="宋体"/>
                <w:color w:val="auto"/>
                <w:sz w:val="21"/>
                <w:szCs w:val="21"/>
                <w:highlight w:val="none"/>
                <w:lang w:val="en-US" w:eastAsia="zh-CN"/>
              </w:rPr>
              <w:t>5</w:t>
            </w:r>
          </w:p>
        </w:tc>
        <w:tc>
          <w:tcPr>
            <w:tcW w:w="3753" w:type="dxa"/>
            <w:vAlign w:val="center"/>
          </w:tcPr>
          <w:p w14:paraId="1CBE003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投标人针对本项目提供项目培训和售后服务方案，应当包括以下内容：</w:t>
            </w:r>
            <w:r>
              <w:rPr>
                <w:rFonts w:hint="eastAsia" w:ascii="宋体" w:hAnsi="宋体" w:eastAsia="宋体" w:cs="宋体"/>
                <w:color w:val="auto"/>
                <w:sz w:val="21"/>
                <w:szCs w:val="21"/>
                <w:highlight w:val="none"/>
              </w:rPr>
              <w:t>①培训计划；②培训内容；③培训师资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④</w:t>
            </w:r>
            <w:r>
              <w:rPr>
                <w:rFonts w:hint="eastAsia" w:ascii="宋体" w:hAnsi="宋体" w:eastAsia="宋体" w:cs="宋体"/>
                <w:color w:val="auto"/>
                <w:sz w:val="21"/>
                <w:szCs w:val="21"/>
                <w:highlight w:val="none"/>
              </w:rPr>
              <w:t>售后服务网点基本情况</w:t>
            </w:r>
            <w:r>
              <w:rPr>
                <w:rFonts w:hint="eastAsia" w:ascii="宋体" w:hAnsi="宋体" w:eastAsia="宋体" w:cs="宋体"/>
                <w:color w:val="auto"/>
                <w:sz w:val="21"/>
                <w:szCs w:val="21"/>
                <w:highlight w:val="none"/>
                <w:lang w:val="en-US" w:eastAsia="zh-CN"/>
              </w:rPr>
              <w:t>；⑤</w:t>
            </w:r>
            <w:r>
              <w:rPr>
                <w:rFonts w:hint="eastAsia" w:ascii="宋体" w:hAnsi="宋体" w:eastAsia="宋体" w:cs="宋体"/>
                <w:color w:val="auto"/>
                <w:sz w:val="21"/>
                <w:szCs w:val="21"/>
                <w:highlight w:val="none"/>
              </w:rPr>
              <w:t>售后服务保障体系；</w:t>
            </w:r>
            <w:r>
              <w:rPr>
                <w:rFonts w:hint="eastAsia" w:ascii="宋体" w:hAnsi="宋体" w:eastAsia="宋体" w:cs="宋体"/>
                <w:color w:val="auto"/>
                <w:sz w:val="21"/>
                <w:szCs w:val="21"/>
                <w:highlight w:val="none"/>
                <w:lang w:val="en-US" w:eastAsia="zh-CN"/>
              </w:rPr>
              <w:t>⑥</w:t>
            </w:r>
            <w:r>
              <w:rPr>
                <w:rFonts w:hint="eastAsia" w:ascii="宋体" w:hAnsi="宋体" w:eastAsia="宋体" w:cs="宋体"/>
                <w:color w:val="auto"/>
                <w:sz w:val="21"/>
                <w:szCs w:val="21"/>
                <w:highlight w:val="none"/>
              </w:rPr>
              <w:t>售后技术响应措施</w:t>
            </w:r>
            <w:r>
              <w:rPr>
                <w:rFonts w:hint="eastAsia" w:ascii="宋体" w:hAnsi="宋体" w:cs="宋体"/>
                <w:color w:val="auto"/>
                <w:sz w:val="21"/>
                <w:szCs w:val="21"/>
                <w:highlight w:val="none"/>
                <w:lang w:eastAsia="zh-CN"/>
              </w:rPr>
              <w:t>。</w:t>
            </w:r>
          </w:p>
          <w:p w14:paraId="1E43F303">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方案内容不存在瑕疵得5分；</w:t>
            </w:r>
          </w:p>
          <w:p w14:paraId="60E3CF1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方</w:t>
            </w:r>
            <w:r>
              <w:rPr>
                <w:rFonts w:hint="eastAsia" w:ascii="宋体" w:hAnsi="宋体" w:eastAsia="宋体" w:cs="宋体"/>
                <w:color w:val="auto"/>
                <w:sz w:val="21"/>
                <w:szCs w:val="21"/>
                <w:highlight w:val="none"/>
              </w:rPr>
              <w:t>案内容存在1处瑕疵得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4F63362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方案内容存在2处瑕疵得1分；</w:t>
            </w:r>
          </w:p>
          <w:p w14:paraId="3A79F02D">
            <w:pPr>
              <w:pStyle w:val="2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方案内容存在3处及以上瑕疵得0分。</w:t>
            </w:r>
          </w:p>
        </w:tc>
        <w:tc>
          <w:tcPr>
            <w:tcW w:w="1769" w:type="dxa"/>
            <w:vMerge w:val="continue"/>
            <w:vAlign w:val="center"/>
          </w:tcPr>
          <w:p w14:paraId="2E260012">
            <w:pPr>
              <w:spacing w:line="240" w:lineRule="auto"/>
              <w:rPr>
                <w:rFonts w:hint="eastAsia" w:ascii="宋体" w:hAnsi="宋体" w:cs="宋体"/>
                <w:color w:val="auto"/>
                <w:kern w:val="2"/>
                <w:sz w:val="21"/>
                <w:szCs w:val="21"/>
                <w:highlight w:val="none"/>
              </w:rPr>
            </w:pPr>
          </w:p>
        </w:tc>
      </w:tr>
      <w:tr w14:paraId="76571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704" w:type="dxa"/>
            <w:vMerge w:val="restart"/>
            <w:vAlign w:val="center"/>
          </w:tcPr>
          <w:p w14:paraId="3DA89429">
            <w:pPr>
              <w:spacing w:line="240" w:lineRule="auto"/>
              <w:jc w:val="center"/>
              <w:rPr>
                <w:rFonts w:hint="eastAsia" w:ascii="宋体" w:hAnsi="宋体" w:eastAsia="宋体" w:cs="宋体"/>
                <w:color w:val="auto"/>
                <w:sz w:val="21"/>
                <w:szCs w:val="21"/>
              </w:rPr>
            </w:pPr>
          </w:p>
        </w:tc>
        <w:tc>
          <w:tcPr>
            <w:tcW w:w="861" w:type="dxa"/>
            <w:vMerge w:val="restart"/>
            <w:vAlign w:val="center"/>
          </w:tcPr>
          <w:p w14:paraId="531C5D21">
            <w:pPr>
              <w:spacing w:line="240" w:lineRule="auto"/>
              <w:jc w:val="center"/>
              <w:rPr>
                <w:rFonts w:hint="eastAsia" w:ascii="宋体" w:hAnsi="宋体" w:eastAsia="宋体" w:cs="宋体"/>
                <w:color w:val="auto"/>
                <w:sz w:val="21"/>
                <w:szCs w:val="21"/>
              </w:rPr>
            </w:pPr>
          </w:p>
        </w:tc>
        <w:tc>
          <w:tcPr>
            <w:tcW w:w="948" w:type="dxa"/>
            <w:vAlign w:val="center"/>
          </w:tcPr>
          <w:p w14:paraId="06DD528C">
            <w:pPr>
              <w:spacing w:line="240" w:lineRule="auto"/>
              <w:jc w:val="center"/>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履约</w:t>
            </w:r>
          </w:p>
          <w:p w14:paraId="37398CD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en-US"/>
              </w:rPr>
              <w:t>能力</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w:t>
            </w:r>
          </w:p>
        </w:tc>
        <w:tc>
          <w:tcPr>
            <w:tcW w:w="743" w:type="dxa"/>
            <w:vAlign w:val="center"/>
          </w:tcPr>
          <w:p w14:paraId="70174EF2">
            <w:pPr>
              <w:spacing w:line="240" w:lineRule="auto"/>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p>
        </w:tc>
        <w:tc>
          <w:tcPr>
            <w:tcW w:w="3753" w:type="dxa"/>
            <w:vAlign w:val="center"/>
          </w:tcPr>
          <w:p w14:paraId="482162D0">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lang w:val="zh-CN" w:eastAsia="zh-CN"/>
              </w:rPr>
              <w:t>投标人或所投产品制造商具有与本项目相关的软件著作权登记证书，每提供1个得0.5分，最高得3分。</w:t>
            </w:r>
          </w:p>
        </w:tc>
        <w:tc>
          <w:tcPr>
            <w:tcW w:w="1769" w:type="dxa"/>
            <w:vAlign w:val="center"/>
          </w:tcPr>
          <w:p w14:paraId="17B0879A">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提供有效证书复印件。</w:t>
            </w:r>
          </w:p>
        </w:tc>
      </w:tr>
      <w:tr w14:paraId="2925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704" w:type="dxa"/>
            <w:vMerge w:val="continue"/>
            <w:vAlign w:val="center"/>
          </w:tcPr>
          <w:p w14:paraId="1A06D945">
            <w:pPr>
              <w:spacing w:line="240" w:lineRule="auto"/>
              <w:jc w:val="center"/>
              <w:rPr>
                <w:rFonts w:hint="eastAsia" w:ascii="宋体" w:hAnsi="宋体" w:eastAsia="宋体" w:cs="宋体"/>
                <w:color w:val="auto"/>
                <w:sz w:val="21"/>
                <w:szCs w:val="21"/>
              </w:rPr>
            </w:pPr>
          </w:p>
        </w:tc>
        <w:tc>
          <w:tcPr>
            <w:tcW w:w="861" w:type="dxa"/>
            <w:vMerge w:val="continue"/>
            <w:vAlign w:val="center"/>
          </w:tcPr>
          <w:p w14:paraId="7D6C1A1B">
            <w:pPr>
              <w:spacing w:line="240" w:lineRule="auto"/>
              <w:jc w:val="center"/>
              <w:rPr>
                <w:rFonts w:hint="eastAsia" w:ascii="宋体" w:hAnsi="宋体" w:eastAsia="宋体" w:cs="宋体"/>
                <w:color w:val="auto"/>
                <w:sz w:val="21"/>
                <w:szCs w:val="21"/>
              </w:rPr>
            </w:pPr>
          </w:p>
        </w:tc>
        <w:tc>
          <w:tcPr>
            <w:tcW w:w="948" w:type="dxa"/>
            <w:vAlign w:val="center"/>
          </w:tcPr>
          <w:p w14:paraId="665F1F05">
            <w:pPr>
              <w:spacing w:line="240" w:lineRule="auto"/>
              <w:jc w:val="center"/>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类似</w:t>
            </w:r>
          </w:p>
          <w:p w14:paraId="0E2F37A8">
            <w:pPr>
              <w:spacing w:line="240" w:lineRule="auto"/>
              <w:jc w:val="center"/>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业绩</w:t>
            </w:r>
          </w:p>
          <w:p w14:paraId="15506B60">
            <w:pPr>
              <w:spacing w:line="240" w:lineRule="auto"/>
              <w:jc w:val="center"/>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eastAsia="en-US"/>
              </w:rPr>
              <w:t>%）</w:t>
            </w:r>
          </w:p>
        </w:tc>
        <w:tc>
          <w:tcPr>
            <w:tcW w:w="743" w:type="dxa"/>
            <w:vAlign w:val="center"/>
          </w:tcPr>
          <w:p w14:paraId="551D7279">
            <w:pPr>
              <w:spacing w:line="240" w:lineRule="auto"/>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c>
          <w:tcPr>
            <w:tcW w:w="3753" w:type="dxa"/>
            <w:vAlign w:val="center"/>
          </w:tcPr>
          <w:p w14:paraId="6DECB586">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投标人或制造厂商提供核心产品的同类项目业绩：投标人自2022年1月1日起至投标截止时间类似项目业绩的有一个得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tc>
        <w:tc>
          <w:tcPr>
            <w:tcW w:w="1769" w:type="dxa"/>
            <w:vAlign w:val="center"/>
          </w:tcPr>
          <w:p w14:paraId="02E60068">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需要提供合同关键页证明材料复印件加盖投标人公章。</w:t>
            </w:r>
          </w:p>
        </w:tc>
      </w:tr>
      <w:tr w14:paraId="348D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253ECBEE">
            <w:pPr>
              <w:spacing w:line="240" w:lineRule="auto"/>
              <w:jc w:val="center"/>
              <w:rPr>
                <w:rFonts w:hint="eastAsia" w:ascii="宋体" w:hAnsi="宋体" w:eastAsia="宋体" w:cs="宋体"/>
                <w:color w:val="auto"/>
                <w:sz w:val="21"/>
                <w:szCs w:val="21"/>
              </w:rPr>
            </w:pPr>
          </w:p>
        </w:tc>
        <w:tc>
          <w:tcPr>
            <w:tcW w:w="861" w:type="dxa"/>
            <w:vMerge w:val="continue"/>
            <w:vAlign w:val="center"/>
          </w:tcPr>
          <w:p w14:paraId="72CA5885">
            <w:pPr>
              <w:spacing w:line="240" w:lineRule="auto"/>
              <w:jc w:val="center"/>
              <w:rPr>
                <w:rFonts w:hint="eastAsia" w:ascii="宋体" w:hAnsi="宋体" w:eastAsia="宋体" w:cs="宋体"/>
                <w:color w:val="auto"/>
                <w:sz w:val="21"/>
                <w:szCs w:val="21"/>
              </w:rPr>
            </w:pPr>
          </w:p>
        </w:tc>
        <w:tc>
          <w:tcPr>
            <w:tcW w:w="948" w:type="dxa"/>
            <w:vAlign w:val="center"/>
          </w:tcPr>
          <w:p w14:paraId="1D25CE8F">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团队</w:t>
            </w:r>
          </w:p>
          <w:p w14:paraId="074B722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人员</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w:t>
            </w:r>
          </w:p>
        </w:tc>
        <w:tc>
          <w:tcPr>
            <w:tcW w:w="743" w:type="dxa"/>
            <w:vAlign w:val="center"/>
          </w:tcPr>
          <w:p w14:paraId="74157A3C">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3753" w:type="dxa"/>
            <w:vAlign w:val="center"/>
          </w:tcPr>
          <w:p w14:paraId="38D270B8">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1、拟投入本项目的项目负责人1名：具有信息系统项目管理师证书</w:t>
            </w:r>
            <w:r>
              <w:rPr>
                <w:rFonts w:hint="eastAsia" w:ascii="宋体" w:hAnsi="宋体" w:eastAsia="宋体" w:cs="宋体"/>
                <w:color w:val="auto"/>
                <w:sz w:val="21"/>
                <w:szCs w:val="21"/>
                <w:lang w:val="en-US" w:eastAsia="zh-CN"/>
              </w:rPr>
              <w:t>得2分</w:t>
            </w:r>
            <w:r>
              <w:rPr>
                <w:rFonts w:hint="eastAsia" w:ascii="宋体" w:hAnsi="宋体" w:eastAsia="宋体" w:cs="宋体"/>
                <w:color w:val="auto"/>
                <w:sz w:val="21"/>
                <w:szCs w:val="21"/>
              </w:rPr>
              <w:t>。</w:t>
            </w:r>
          </w:p>
          <w:p w14:paraId="3DEE6AE1">
            <w:pPr>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2、拟投入本项目的</w:t>
            </w:r>
            <w:r>
              <w:rPr>
                <w:rFonts w:hint="eastAsia" w:ascii="宋体" w:hAnsi="宋体" w:eastAsia="宋体" w:cs="宋体"/>
                <w:color w:val="auto"/>
                <w:sz w:val="21"/>
                <w:szCs w:val="21"/>
                <w:lang w:val="en-US" w:eastAsia="zh-CN"/>
              </w:rPr>
              <w:t>实施团队</w:t>
            </w:r>
            <w:r>
              <w:rPr>
                <w:rFonts w:hint="eastAsia" w:ascii="宋体" w:hAnsi="宋体" w:eastAsia="宋体" w:cs="宋体"/>
                <w:color w:val="auto"/>
                <w:sz w:val="21"/>
                <w:szCs w:val="21"/>
              </w:rPr>
              <w:t>成员（除前述</w:t>
            </w:r>
            <w:r>
              <w:rPr>
                <w:rFonts w:hint="eastAsia" w:ascii="宋体" w:hAnsi="宋体" w:eastAsia="宋体" w:cs="宋体"/>
                <w:color w:val="auto"/>
                <w:sz w:val="21"/>
                <w:szCs w:val="21"/>
                <w:lang w:val="en-US" w:eastAsia="zh-CN"/>
              </w:rPr>
              <w:t>项目</w:t>
            </w:r>
            <w:r>
              <w:rPr>
                <w:rFonts w:hint="eastAsia" w:ascii="宋体" w:hAnsi="宋体" w:eastAsia="宋体" w:cs="宋体"/>
                <w:color w:val="auto"/>
                <w:sz w:val="21"/>
                <w:szCs w:val="21"/>
              </w:rPr>
              <w:t>负责人外）：具有</w:t>
            </w:r>
            <w:r>
              <w:rPr>
                <w:rFonts w:hint="eastAsia" w:ascii="宋体" w:hAnsi="宋体" w:cs="宋体"/>
                <w:color w:val="auto"/>
                <w:sz w:val="21"/>
                <w:szCs w:val="21"/>
                <w:lang w:val="en-US" w:eastAsia="zh-CN"/>
              </w:rPr>
              <w:t>中</w:t>
            </w:r>
            <w:r>
              <w:rPr>
                <w:rFonts w:hint="eastAsia" w:ascii="宋体" w:hAnsi="宋体" w:eastAsia="宋体" w:cs="宋体"/>
                <w:color w:val="auto"/>
                <w:sz w:val="21"/>
                <w:szCs w:val="21"/>
                <w:lang w:val="en-US" w:eastAsia="zh-CN"/>
              </w:rPr>
              <w:t>级工程师</w:t>
            </w:r>
            <w:r>
              <w:rPr>
                <w:rFonts w:hint="eastAsia" w:ascii="宋体" w:hAnsi="宋体" w:cs="宋体"/>
                <w:color w:val="auto"/>
                <w:sz w:val="21"/>
                <w:szCs w:val="21"/>
                <w:lang w:val="en-US" w:eastAsia="zh-CN"/>
              </w:rPr>
              <w:t>及以上</w:t>
            </w:r>
            <w:r>
              <w:rPr>
                <w:rFonts w:hint="eastAsia" w:ascii="宋体" w:hAnsi="宋体" w:eastAsia="宋体" w:cs="宋体"/>
                <w:color w:val="auto"/>
                <w:sz w:val="21"/>
                <w:szCs w:val="21"/>
                <w:lang w:val="en-US" w:eastAsia="zh-CN"/>
              </w:rPr>
              <w:t>职称的</w:t>
            </w:r>
            <w:r>
              <w:rPr>
                <w:rFonts w:hint="eastAsia" w:ascii="宋体" w:hAnsi="宋体" w:eastAsia="宋体" w:cs="宋体"/>
                <w:color w:val="auto"/>
                <w:sz w:val="21"/>
                <w:szCs w:val="21"/>
              </w:rPr>
              <w:t>，每提供1</w:t>
            </w:r>
            <w:r>
              <w:rPr>
                <w:rFonts w:hint="eastAsia" w:ascii="宋体" w:hAnsi="宋体" w:cs="宋体"/>
                <w:color w:val="auto"/>
                <w:sz w:val="21"/>
                <w:szCs w:val="21"/>
                <w:lang w:val="en-US" w:eastAsia="zh-CN"/>
              </w:rPr>
              <w:t>人</w:t>
            </w:r>
            <w:r>
              <w:rPr>
                <w:rFonts w:hint="eastAsia" w:ascii="宋体" w:hAnsi="宋体" w:eastAsia="宋体" w:cs="宋体"/>
                <w:color w:val="auto"/>
                <w:sz w:val="21"/>
                <w:szCs w:val="21"/>
              </w:rPr>
              <w:t>得1分，最高得</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分。</w:t>
            </w:r>
          </w:p>
        </w:tc>
        <w:tc>
          <w:tcPr>
            <w:tcW w:w="1769" w:type="dxa"/>
            <w:vAlign w:val="center"/>
          </w:tcPr>
          <w:p w14:paraId="743990E9">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提供以上人员的</w:t>
            </w:r>
            <w:r>
              <w:rPr>
                <w:rFonts w:hint="eastAsia" w:ascii="宋体" w:hAnsi="宋体" w:eastAsia="宋体" w:cs="宋体"/>
                <w:color w:val="auto"/>
                <w:sz w:val="21"/>
                <w:szCs w:val="21"/>
                <w:lang w:val="en-US" w:eastAsia="zh-CN"/>
              </w:rPr>
              <w:t>有效</w:t>
            </w:r>
            <w:r>
              <w:rPr>
                <w:rFonts w:hint="eastAsia" w:ascii="宋体" w:hAnsi="宋体" w:eastAsia="宋体" w:cs="宋体"/>
                <w:color w:val="auto"/>
                <w:sz w:val="21"/>
                <w:szCs w:val="21"/>
              </w:rPr>
              <w:t>证书以及</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为其</w:t>
            </w:r>
            <w:r>
              <w:rPr>
                <w:rFonts w:hint="eastAsia" w:ascii="宋体" w:hAnsi="宋体" w:eastAsia="宋体" w:cs="宋体"/>
                <w:color w:val="auto"/>
                <w:sz w:val="21"/>
                <w:szCs w:val="21"/>
                <w:lang w:val="en-US" w:eastAsia="zh-CN"/>
              </w:rPr>
              <w:t>缴纳的2025年</w:t>
            </w:r>
            <w:r>
              <w:rPr>
                <w:rFonts w:hint="eastAsia" w:ascii="宋体" w:hAnsi="宋体" w:eastAsia="宋体" w:cs="宋体"/>
                <w:color w:val="auto"/>
                <w:sz w:val="21"/>
                <w:szCs w:val="21"/>
              </w:rPr>
              <w:t>任意一个月缴纳社保的证明材料复印件（若</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为投标截止时间当月或上月成立的公司，</w:t>
            </w:r>
            <w:r>
              <w:rPr>
                <w:rFonts w:hint="eastAsia" w:ascii="宋体" w:hAnsi="宋体" w:cs="宋体"/>
                <w:color w:val="auto"/>
                <w:sz w:val="21"/>
                <w:szCs w:val="21"/>
                <w:lang w:val="en-US" w:eastAsia="zh-CN"/>
              </w:rPr>
              <w:t>可仅</w:t>
            </w:r>
            <w:r>
              <w:rPr>
                <w:rFonts w:hint="eastAsia" w:ascii="宋体" w:hAnsi="宋体" w:eastAsia="宋体" w:cs="宋体"/>
                <w:color w:val="auto"/>
                <w:sz w:val="21"/>
                <w:szCs w:val="21"/>
                <w:lang w:val="en-US" w:eastAsia="zh-CN"/>
              </w:rPr>
              <w:t>提供劳动合同复印件</w:t>
            </w:r>
            <w:r>
              <w:rPr>
                <w:rFonts w:hint="eastAsia" w:ascii="宋体" w:hAnsi="宋体" w:eastAsia="宋体" w:cs="宋体"/>
                <w:color w:val="auto"/>
                <w:sz w:val="21"/>
                <w:szCs w:val="21"/>
              </w:rPr>
              <w:t>）并加盖投标人公章。</w:t>
            </w:r>
          </w:p>
        </w:tc>
      </w:tr>
      <w:tr w14:paraId="3B93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tcBorders>
              <w:bottom w:val="single" w:color="auto" w:sz="4" w:space="0"/>
            </w:tcBorders>
            <w:vAlign w:val="center"/>
          </w:tcPr>
          <w:p w14:paraId="525F249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809" w:type="dxa"/>
            <w:gridSpan w:val="2"/>
            <w:tcBorders>
              <w:bottom w:val="single" w:color="auto" w:sz="4" w:space="0"/>
            </w:tcBorders>
            <w:vAlign w:val="center"/>
          </w:tcPr>
          <w:p w14:paraId="00FD7A78">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政策性加分</w:t>
            </w:r>
          </w:p>
          <w:p w14:paraId="77ABED1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743" w:type="dxa"/>
            <w:tcBorders>
              <w:bottom w:val="single" w:color="auto" w:sz="4" w:space="0"/>
            </w:tcBorders>
            <w:vAlign w:val="center"/>
          </w:tcPr>
          <w:p w14:paraId="435B065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3753" w:type="dxa"/>
            <w:vAlign w:val="center"/>
          </w:tcPr>
          <w:p w14:paraId="2E2E7DE8">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1.投标产品属于《财政部 发展改革委关于印发节能产品政府采购品目清单的通知》（财库〔2019〕19号）范围内的节能产品，且“节能产品政府采购品目清单”中未标注“★”的，有一款得0.5分，最多得2分（清单中以“★”标注为政府强制采购的节能产品）。</w:t>
            </w:r>
          </w:p>
          <w:p w14:paraId="381DF83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097FFDD5">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2.投标产品属于《财政部 生态环境部关于印发环境标志产品政府采购品目清单的通知》（财库〔2019〕18号）范围内的环境标志产品的，有一款得0.5分，最多得2分。</w:t>
            </w:r>
          </w:p>
          <w:p w14:paraId="7FE7BA1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c>
          <w:tcPr>
            <w:tcW w:w="1769" w:type="dxa"/>
            <w:tcBorders>
              <w:bottom w:val="single" w:color="auto" w:sz="4" w:space="0"/>
            </w:tcBorders>
            <w:vAlign w:val="center"/>
          </w:tcPr>
          <w:p w14:paraId="1E827D1C">
            <w:pPr>
              <w:spacing w:line="240" w:lineRule="auto"/>
              <w:jc w:val="center"/>
              <w:rPr>
                <w:rFonts w:hint="eastAsia" w:ascii="宋体" w:hAnsi="宋体" w:eastAsia="宋体" w:cs="宋体"/>
                <w:color w:val="auto"/>
                <w:sz w:val="21"/>
                <w:szCs w:val="21"/>
              </w:rPr>
            </w:pPr>
          </w:p>
        </w:tc>
      </w:tr>
    </w:tbl>
    <w:p w14:paraId="7FA2DD46">
      <w:pPr>
        <w:snapToGrid w:val="0"/>
        <w:spacing w:line="400" w:lineRule="exact"/>
        <w:ind w:firstLine="465"/>
        <w:rPr>
          <w:rFonts w:hint="eastAsia" w:ascii="宋体" w:hAnsi="宋体" w:eastAsia="宋体" w:cs="宋体"/>
          <w:color w:val="auto"/>
          <w:sz w:val="24"/>
          <w:szCs w:val="24"/>
        </w:rPr>
      </w:pPr>
      <w:r>
        <w:rPr>
          <w:rFonts w:hint="eastAsia" w:ascii="宋体" w:hAnsi="宋体" w:eastAsia="宋体" w:cs="宋体"/>
          <w:color w:val="auto"/>
          <w:sz w:val="24"/>
          <w:szCs w:val="24"/>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1FEFBB9">
      <w:pPr>
        <w:pStyle w:val="3"/>
        <w:spacing w:line="400" w:lineRule="exact"/>
        <w:ind w:firstLine="482" w:firstLineChars="200"/>
        <w:rPr>
          <w:rFonts w:hint="eastAsia" w:ascii="宋体" w:hAnsi="宋体" w:eastAsia="宋体" w:cs="宋体"/>
          <w:b/>
          <w:color w:val="auto"/>
          <w:sz w:val="24"/>
          <w:szCs w:val="24"/>
        </w:rPr>
      </w:pPr>
      <w:bookmarkStart w:id="442" w:name="_Toc20423"/>
      <w:bookmarkStart w:id="443" w:name="_Toc15200"/>
      <w:bookmarkStart w:id="444" w:name="_Toc75793521"/>
      <w:bookmarkStart w:id="445" w:name="_Toc22167"/>
      <w:bookmarkStart w:id="446" w:name="_Toc10923"/>
      <w:bookmarkStart w:id="447" w:name="_Toc5010"/>
      <w:bookmarkStart w:id="448" w:name="_Toc4045"/>
      <w:bookmarkStart w:id="449" w:name="_Toc29586"/>
      <w:bookmarkStart w:id="450" w:name="_Toc13232"/>
      <w:bookmarkStart w:id="451" w:name="_Toc17065"/>
      <w:bookmarkStart w:id="452" w:name="_Toc18716"/>
      <w:bookmarkStart w:id="453" w:name="_Toc5243"/>
      <w:bookmarkStart w:id="454" w:name="_Toc13045"/>
      <w:bookmarkStart w:id="455" w:name="_Toc26747"/>
      <w:bookmarkStart w:id="456" w:name="_Toc27926"/>
      <w:bookmarkStart w:id="457" w:name="_Toc30659"/>
      <w:bookmarkStart w:id="458" w:name="_Toc10722"/>
      <w:r>
        <w:rPr>
          <w:rFonts w:hint="eastAsia" w:ascii="宋体" w:hAnsi="宋体" w:eastAsia="宋体" w:cs="宋体"/>
          <w:b/>
          <w:color w:val="auto"/>
          <w:sz w:val="24"/>
          <w:szCs w:val="24"/>
        </w:rPr>
        <w:t>四、无效投标条款</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6CD5BD21">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投标人或其投标文件出现下列情况之一者，应为无效投标：</w:t>
      </w:r>
    </w:p>
    <w:p w14:paraId="1160D92C">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（一）未按照招标文件的规定提交投标保证金的；</w:t>
      </w:r>
    </w:p>
    <w:p w14:paraId="2A30028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（二）投标文件未按招标文件要求签署、盖章的；</w:t>
      </w:r>
    </w:p>
    <w:p w14:paraId="2CE6D021">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（三）不具备招标文件中规定的资格要求的；</w:t>
      </w:r>
    </w:p>
    <w:p w14:paraId="12E55F5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（四）报价超过招标文件中规定的预算金额或者最高限价的；</w:t>
      </w:r>
    </w:p>
    <w:p w14:paraId="6E9C73BE">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（五）投标文件含有采购人不能接受的附加条件的；</w:t>
      </w:r>
    </w:p>
    <w:p w14:paraId="5DF09A0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（六）投标人串通投标的；</w:t>
      </w:r>
    </w:p>
    <w:p w14:paraId="63ABF8AA">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（七）法律、法规和招标文件规定的其他无效情形。</w:t>
      </w:r>
    </w:p>
    <w:p w14:paraId="36F5537E">
      <w:pPr>
        <w:pStyle w:val="3"/>
        <w:spacing w:line="400" w:lineRule="exact"/>
        <w:ind w:firstLine="482" w:firstLineChars="200"/>
        <w:rPr>
          <w:rFonts w:hint="eastAsia" w:ascii="宋体" w:hAnsi="宋体" w:eastAsia="宋体" w:cs="宋体"/>
          <w:b/>
          <w:color w:val="auto"/>
          <w:sz w:val="24"/>
          <w:szCs w:val="24"/>
        </w:rPr>
      </w:pPr>
      <w:bookmarkStart w:id="459" w:name="_Toc25960"/>
      <w:bookmarkStart w:id="460" w:name="_Toc21946"/>
      <w:bookmarkStart w:id="461" w:name="_Toc6956"/>
      <w:bookmarkStart w:id="462" w:name="_Toc14355"/>
      <w:bookmarkStart w:id="463" w:name="_Toc6204"/>
      <w:bookmarkStart w:id="464" w:name="_Toc27029"/>
      <w:bookmarkStart w:id="465" w:name="_Toc6719"/>
      <w:bookmarkStart w:id="466" w:name="_Toc11293"/>
      <w:bookmarkStart w:id="467" w:name="_Toc30605"/>
      <w:bookmarkStart w:id="468" w:name="_Toc27133"/>
      <w:bookmarkStart w:id="469" w:name="_Toc23533"/>
      <w:bookmarkStart w:id="470" w:name="_Toc7802"/>
      <w:bookmarkStart w:id="471" w:name="_Toc4422"/>
      <w:bookmarkStart w:id="472" w:name="_Toc75793522"/>
      <w:bookmarkStart w:id="473" w:name="_Toc25549"/>
      <w:bookmarkStart w:id="474" w:name="_Toc20005"/>
      <w:bookmarkStart w:id="475" w:name="_Toc20299"/>
      <w:r>
        <w:rPr>
          <w:rFonts w:hint="eastAsia" w:ascii="宋体" w:hAnsi="宋体" w:eastAsia="宋体" w:cs="宋体"/>
          <w:b/>
          <w:color w:val="auto"/>
          <w:sz w:val="24"/>
          <w:szCs w:val="24"/>
        </w:rPr>
        <w:t>五、废标条款</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60AFB29A">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在招标采购中，出现下列情形之一的，应予废标：</w:t>
      </w:r>
    </w:p>
    <w:p w14:paraId="258FF12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（一）符合专业条件的投标人或者对招标文件作实质响应的投标人不足三家的；</w:t>
      </w:r>
    </w:p>
    <w:p w14:paraId="58B494D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（二）投标人的报价均超过了采购预算，采购人不能支付的；</w:t>
      </w:r>
    </w:p>
    <w:p w14:paraId="488D8B47">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（三）出现影响采购公正的违法、违规行为的；</w:t>
      </w:r>
    </w:p>
    <w:p w14:paraId="2BAAE73E">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（四）因重大变故，采购任务取消的。</w:t>
      </w:r>
    </w:p>
    <w:p w14:paraId="5301E04F">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废标后，除采购任务取消情形外，应当重新组织采购。</w:t>
      </w:r>
    </w:p>
    <w:p w14:paraId="24E13B95">
      <w:pPr>
        <w:pStyle w:val="2"/>
        <w:spacing w:before="0" w:after="0" w:line="360" w:lineRule="auto"/>
        <w:rPr>
          <w:rFonts w:hint="eastAsia" w:ascii="宋体" w:hAnsi="宋体" w:eastAsia="宋体" w:cs="宋体"/>
          <w:b/>
          <w:color w:val="auto"/>
        </w:rPr>
      </w:pPr>
      <w:r>
        <w:rPr>
          <w:rFonts w:hint="eastAsia" w:ascii="宋体" w:hAnsi="宋体" w:eastAsia="宋体" w:cs="宋体"/>
          <w:color w:val="auto"/>
          <w:sz w:val="28"/>
        </w:rPr>
        <w:br w:type="page"/>
      </w:r>
      <w:bookmarkStart w:id="476" w:name="_Toc25962"/>
      <w:bookmarkStart w:id="477" w:name="_Toc75793523"/>
      <w:bookmarkStart w:id="478" w:name="_Toc22201"/>
      <w:bookmarkStart w:id="479" w:name="_Toc25755"/>
      <w:bookmarkStart w:id="480" w:name="_Toc29546"/>
      <w:bookmarkStart w:id="481" w:name="_Toc22630"/>
      <w:bookmarkStart w:id="482" w:name="_Toc21000"/>
      <w:bookmarkStart w:id="483" w:name="_Toc12533"/>
      <w:bookmarkStart w:id="484" w:name="_Toc5106"/>
      <w:bookmarkStart w:id="485" w:name="_Toc22256"/>
      <w:bookmarkStart w:id="486" w:name="_Toc18502"/>
      <w:bookmarkStart w:id="487" w:name="_Toc4735"/>
      <w:bookmarkStart w:id="488" w:name="_Toc13159"/>
      <w:bookmarkStart w:id="489" w:name="_Toc1982"/>
      <w:bookmarkStart w:id="490" w:name="_Toc19831"/>
      <w:bookmarkStart w:id="491" w:name="_Toc21720"/>
      <w:bookmarkStart w:id="492" w:name="_Toc25957"/>
      <w:r>
        <w:rPr>
          <w:rFonts w:hint="eastAsia" w:ascii="宋体" w:hAnsi="宋体" w:eastAsia="宋体" w:cs="宋体"/>
          <w:b/>
          <w:color w:val="auto"/>
        </w:rPr>
        <w:t>第五篇  投标人须知</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1F3C1A37">
      <w:pPr>
        <w:pStyle w:val="3"/>
        <w:spacing w:line="400" w:lineRule="exact"/>
        <w:ind w:firstLine="482" w:firstLineChars="200"/>
        <w:rPr>
          <w:rFonts w:hint="eastAsia" w:ascii="宋体" w:hAnsi="宋体" w:eastAsia="宋体" w:cs="宋体"/>
          <w:b/>
          <w:color w:val="auto"/>
          <w:sz w:val="24"/>
        </w:rPr>
      </w:pPr>
      <w:bookmarkStart w:id="493" w:name="_Toc18929"/>
      <w:bookmarkStart w:id="494" w:name="_Toc13197"/>
      <w:bookmarkStart w:id="495" w:name="_Toc75793524"/>
      <w:bookmarkStart w:id="496" w:name="_Toc12955"/>
      <w:bookmarkStart w:id="497" w:name="_Toc10657"/>
      <w:bookmarkStart w:id="498" w:name="_Toc15432"/>
      <w:bookmarkStart w:id="499" w:name="_Toc422"/>
      <w:bookmarkStart w:id="500" w:name="_Toc27405"/>
      <w:bookmarkStart w:id="501" w:name="_Toc3330"/>
      <w:bookmarkStart w:id="502" w:name="_Toc11996"/>
      <w:bookmarkStart w:id="503" w:name="_Toc3327"/>
      <w:bookmarkStart w:id="504" w:name="_Toc2439"/>
      <w:bookmarkStart w:id="505" w:name="_Toc10325"/>
      <w:bookmarkStart w:id="506" w:name="_Toc20020"/>
      <w:bookmarkStart w:id="507" w:name="_Toc1327"/>
      <w:bookmarkStart w:id="508" w:name="_Toc16129"/>
      <w:bookmarkStart w:id="509" w:name="_Toc19973"/>
      <w:r>
        <w:rPr>
          <w:rFonts w:hint="eastAsia" w:ascii="宋体" w:hAnsi="宋体" w:eastAsia="宋体" w:cs="宋体"/>
          <w:b/>
          <w:color w:val="auto"/>
          <w:sz w:val="24"/>
        </w:rPr>
        <w:t>一、投标人</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1F68D53E">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（一）投标人</w:t>
      </w:r>
    </w:p>
    <w:p w14:paraId="5B3A9437">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投标人是指响应招标、参加投标竞争的法人、其他组织或者自然人。</w:t>
      </w:r>
    </w:p>
    <w:p w14:paraId="63AEB36E">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（二）合格投标人条件</w:t>
      </w:r>
    </w:p>
    <w:p w14:paraId="7ACCE89E">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合格投标人应完全符合招标文件第一篇中规定的投标人资格条件，并对招标文件作出实质性响应。</w:t>
      </w:r>
    </w:p>
    <w:p w14:paraId="5480993B">
      <w:pPr>
        <w:snapToGrid w:val="0"/>
        <w:spacing w:line="400" w:lineRule="exact"/>
        <w:ind w:firstLine="480" w:firstLineChars="200"/>
        <w:outlineLvl w:val="2"/>
        <w:rPr>
          <w:rFonts w:hint="eastAsia" w:ascii="宋体" w:hAnsi="宋体" w:eastAsia="宋体" w:cs="宋体"/>
          <w:color w:val="auto"/>
          <w:sz w:val="24"/>
          <w:szCs w:val="28"/>
        </w:rPr>
      </w:pPr>
      <w:r>
        <w:rPr>
          <w:rFonts w:hint="eastAsia" w:ascii="宋体" w:hAnsi="宋体" w:eastAsia="宋体" w:cs="宋体"/>
          <w:color w:val="auto"/>
          <w:sz w:val="24"/>
          <w:szCs w:val="28"/>
        </w:rPr>
        <w:t>（三）投标人的风险</w:t>
      </w:r>
    </w:p>
    <w:p w14:paraId="7D3A6DC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投标人没有按照招标文件要求提供全部资料，或者投标人没有对招标文件在各方面作出实质性响应，可能导致投标被拒绝或评定为无效投标。</w:t>
      </w:r>
    </w:p>
    <w:p w14:paraId="3337696D">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（四）法律责任</w:t>
      </w:r>
    </w:p>
    <w:p w14:paraId="32DD314C">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投标人违反《中华人民共和国政府采购法》、《中华人民共和国政府采购实施条例》等相关规定，将按规定追究投标人法律责任。</w:t>
      </w:r>
    </w:p>
    <w:p w14:paraId="03D0C6F5">
      <w:pPr>
        <w:pStyle w:val="3"/>
        <w:spacing w:line="400" w:lineRule="exact"/>
        <w:ind w:firstLine="482" w:firstLineChars="200"/>
        <w:rPr>
          <w:rFonts w:hint="eastAsia" w:ascii="宋体" w:hAnsi="宋体" w:eastAsia="宋体" w:cs="宋体"/>
          <w:b/>
          <w:color w:val="auto"/>
          <w:sz w:val="24"/>
        </w:rPr>
      </w:pPr>
      <w:bookmarkStart w:id="510" w:name="_Toc17367"/>
      <w:bookmarkStart w:id="511" w:name="_Toc13133"/>
      <w:bookmarkStart w:id="512" w:name="_Toc15037"/>
      <w:bookmarkStart w:id="513" w:name="_Toc12347"/>
      <w:bookmarkStart w:id="514" w:name="_Toc75793525"/>
      <w:bookmarkStart w:id="515" w:name="_Toc22254"/>
      <w:bookmarkStart w:id="516" w:name="_Toc167"/>
      <w:bookmarkStart w:id="517" w:name="_Toc1815"/>
      <w:bookmarkStart w:id="518" w:name="_Toc2692"/>
      <w:bookmarkStart w:id="519" w:name="_Toc11909"/>
      <w:bookmarkStart w:id="520" w:name="_Toc15851"/>
      <w:bookmarkStart w:id="521" w:name="_Toc26074"/>
      <w:bookmarkStart w:id="522" w:name="_Toc26158"/>
      <w:bookmarkStart w:id="523" w:name="_Toc15849"/>
      <w:bookmarkStart w:id="524" w:name="_Toc14775"/>
      <w:bookmarkStart w:id="525" w:name="_Toc4836"/>
      <w:bookmarkStart w:id="526" w:name="_Toc6546"/>
      <w:r>
        <w:rPr>
          <w:rFonts w:hint="eastAsia" w:ascii="宋体" w:hAnsi="宋体" w:eastAsia="宋体" w:cs="宋体"/>
          <w:b/>
          <w:color w:val="auto"/>
          <w:sz w:val="24"/>
        </w:rPr>
        <w:t>二、招标文件</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538D78DA">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招标文件是投标人编制投标文件的依据，是评标委员会评判依据和标准。招标文件也是采购人与中标人签订合同的基础。</w:t>
      </w:r>
    </w:p>
    <w:p w14:paraId="12FC991E">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（一）招标文件由投标邀请书；项目技术（质量）需求；商务条款；投标人须知；评标方法、评标标准、无效投标条款和废标条款；合同主要条款、合同范本；投标文件格式等七部分组成。</w:t>
      </w:r>
    </w:p>
    <w:p w14:paraId="665F55AB">
      <w:pPr>
        <w:snapToGrid w:val="0"/>
        <w:spacing w:line="400" w:lineRule="exact"/>
        <w:ind w:firstLine="480"/>
        <w:rPr>
          <w:rFonts w:hint="eastAsia" w:ascii="宋体" w:hAnsi="宋体" w:eastAsia="宋体" w:cs="宋体"/>
          <w:color w:val="auto"/>
          <w:sz w:val="24"/>
        </w:rPr>
      </w:pPr>
      <w:r>
        <w:rPr>
          <w:rFonts w:hint="eastAsia" w:ascii="宋体" w:hAnsi="宋体" w:eastAsia="宋体" w:cs="宋体"/>
          <w:color w:val="auto"/>
          <w:sz w:val="24"/>
          <w:szCs w:val="28"/>
        </w:rPr>
        <w:t>（二）</w:t>
      </w:r>
      <w:r>
        <w:rPr>
          <w:rFonts w:hint="eastAsia" w:ascii="宋体" w:hAnsi="宋体" w:eastAsia="宋体" w:cs="宋体"/>
          <w:color w:val="auto"/>
          <w:sz w:val="24"/>
        </w:rPr>
        <w:t>采购代理机构对招标文件所作的一切有效的书面通知、修改及补充，都是招标文件不可分割的部分。</w:t>
      </w:r>
    </w:p>
    <w:p w14:paraId="58D9A8DE">
      <w:pPr>
        <w:snapToGrid w:val="0"/>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（三）</w:t>
      </w:r>
      <w:r>
        <w:rPr>
          <w:rFonts w:hint="eastAsia" w:ascii="宋体" w:hAnsi="宋体" w:eastAsia="宋体" w:cs="宋体"/>
          <w:color w:val="auto"/>
          <w:sz w:val="24"/>
          <w:szCs w:val="24"/>
        </w:rPr>
        <w:t>本项目的招标文件、澄清文件（如果有）一律在重庆市政府采购网（www.ccgp-chongqing.gov.cn）上发布，请各投标人注意下载或到采购代理机构处领取；无论投标人下载或领取与否，均视同投标人已知晓本项目招标文件、澄清文件的内容。</w:t>
      </w:r>
    </w:p>
    <w:p w14:paraId="5122D70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（四）采购代理机构对已发出的招标文件需要进行澄清或修改的，应以书面形式或公告形式通知所有招标文件收受人。该澄清或者修改的内容为招标文件的组成部分。</w:t>
      </w:r>
    </w:p>
    <w:p w14:paraId="4EE318C6">
      <w:pPr>
        <w:pStyle w:val="3"/>
        <w:spacing w:line="400" w:lineRule="exact"/>
        <w:ind w:firstLine="482" w:firstLineChars="200"/>
        <w:rPr>
          <w:rFonts w:hint="eastAsia" w:ascii="宋体" w:hAnsi="宋体" w:eastAsia="宋体" w:cs="宋体"/>
          <w:b/>
          <w:color w:val="auto"/>
          <w:sz w:val="24"/>
        </w:rPr>
      </w:pPr>
      <w:bookmarkStart w:id="527" w:name="_Toc27176"/>
      <w:bookmarkStart w:id="528" w:name="_Toc2716"/>
      <w:bookmarkStart w:id="529" w:name="_Toc14835"/>
      <w:bookmarkStart w:id="530" w:name="_Toc27321"/>
      <w:bookmarkStart w:id="531" w:name="_Toc28745"/>
      <w:bookmarkStart w:id="532" w:name="_Toc9973"/>
      <w:bookmarkStart w:id="533" w:name="_Toc29417"/>
      <w:bookmarkStart w:id="534" w:name="_Toc13738"/>
      <w:bookmarkStart w:id="535" w:name="_Toc3303"/>
      <w:bookmarkStart w:id="536" w:name="_Toc23192"/>
      <w:bookmarkStart w:id="537" w:name="_Toc15470"/>
      <w:bookmarkStart w:id="538" w:name="_Toc75793526"/>
      <w:bookmarkStart w:id="539" w:name="_Toc32133"/>
      <w:bookmarkStart w:id="540" w:name="_Toc15881"/>
      <w:bookmarkStart w:id="541" w:name="_Toc29709"/>
      <w:bookmarkStart w:id="542" w:name="_Toc28353"/>
      <w:bookmarkStart w:id="543" w:name="_Toc21525"/>
      <w:r>
        <w:rPr>
          <w:rFonts w:hint="eastAsia" w:ascii="宋体" w:hAnsi="宋体" w:eastAsia="宋体" w:cs="宋体"/>
          <w:b/>
          <w:color w:val="auto"/>
          <w:sz w:val="24"/>
        </w:rPr>
        <w:t>三、投标文件</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1880160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投标人应当按照招标文件的要求编制投标文件，并对招标文件提出的要求和条件作出实质性响应，投标文件原则上采用软面订本，同时应编制完整的页码、目录。</w:t>
      </w:r>
    </w:p>
    <w:p w14:paraId="3A637B49">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（一）投标文件组成</w:t>
      </w:r>
    </w:p>
    <w:p w14:paraId="1BC4A37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201306B7">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（二）联合投标</w:t>
      </w:r>
      <w:r>
        <w:rPr>
          <w:rFonts w:hint="eastAsia" w:ascii="宋体" w:hAnsi="宋体" w:eastAsia="宋体" w:cs="宋体"/>
          <w:b w:val="0"/>
          <w:bCs w:val="0"/>
          <w:color w:val="auto"/>
          <w:sz w:val="24"/>
          <w:lang w:eastAsia="zh-CN"/>
        </w:rPr>
        <w:t>（</w:t>
      </w:r>
      <w:r>
        <w:rPr>
          <w:rFonts w:hint="eastAsia" w:ascii="宋体" w:hAnsi="宋体" w:eastAsia="宋体" w:cs="宋体"/>
          <w:b w:val="0"/>
          <w:bCs w:val="0"/>
          <w:color w:val="auto"/>
          <w:sz w:val="24"/>
          <w:szCs w:val="24"/>
          <w:highlight w:val="none"/>
        </w:rPr>
        <w:t>不接受联合体参与投标</w:t>
      </w:r>
      <w:r>
        <w:rPr>
          <w:rFonts w:hint="eastAsia" w:ascii="宋体" w:hAnsi="宋体" w:eastAsia="宋体" w:cs="宋体"/>
          <w:b w:val="0"/>
          <w:bCs w:val="0"/>
          <w:color w:val="auto"/>
          <w:sz w:val="24"/>
          <w:lang w:eastAsia="zh-CN"/>
        </w:rPr>
        <w:t>）</w:t>
      </w:r>
    </w:p>
    <w:p w14:paraId="63B090C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1.两个以上投标人可以组成一个投标联合体，以一个投标人的身份投标。</w:t>
      </w:r>
    </w:p>
    <w:p w14:paraId="34AE1EDC">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2.以联合体形式参加投标的，联合体各方均应</w:t>
      </w:r>
      <w:r>
        <w:rPr>
          <w:rFonts w:hint="eastAsia" w:ascii="宋体" w:hAnsi="宋体" w:eastAsia="宋体" w:cs="宋体"/>
          <w:color w:val="auto"/>
          <w:kern w:val="0"/>
          <w:sz w:val="24"/>
          <w:szCs w:val="24"/>
        </w:rPr>
        <w:t>满足投标人资格要求（详见“第一篇”）</w:t>
      </w:r>
      <w:r>
        <w:rPr>
          <w:rFonts w:hint="eastAsia" w:ascii="宋体" w:hAnsi="宋体" w:eastAsia="宋体" w:cs="宋体"/>
          <w:color w:val="auto"/>
          <w:sz w:val="24"/>
        </w:rPr>
        <w:t>。联合体中有同类资质的投标人按照联合体分工承担相同工作的，应当按照资质等级较低的投标人确定资质等级。</w:t>
      </w:r>
    </w:p>
    <w:p w14:paraId="37738E61">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联合体各方之间应当签订共同投标协议，共同投标协议中应确定主办方（主体），代表联合体进行投标和澄清。共同投标协议应明确约定联合体各方承担的工作和相应的责任，并将共同投标协议连同投标文件一并提交采购代理机构。</w:t>
      </w:r>
    </w:p>
    <w:p w14:paraId="674CD27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4.以联合体形式参加政府采购活动的，联合体各方不得再单独参加或者与其他投标人另外组成联合体参加同一合同项下的政府采购活动。</w:t>
      </w:r>
    </w:p>
    <w:p w14:paraId="737288C1">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5.联合体投标业绩计算，按照共同投标协议分工认定。</w:t>
      </w:r>
    </w:p>
    <w:p w14:paraId="68D93B2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50E42156">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7.以联合体投标的，共同投标协议中应确定主办方（主体），代表联合体进行投标和澄清。法定代表人授权委托书由联合体主办方（主体）出具。联合体各方均应满足投标人资格要求（详见“第一篇”）。</w:t>
      </w:r>
    </w:p>
    <w:p w14:paraId="4618E1E6">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（三）投标有效期</w:t>
      </w:r>
    </w:p>
    <w:p w14:paraId="0A61678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投标有效期为投标截止时间起90天。</w:t>
      </w:r>
    </w:p>
    <w:p w14:paraId="4C978F40">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（四）投标保证金</w:t>
      </w:r>
    </w:p>
    <w:p w14:paraId="20938E8A">
      <w:pPr>
        <w:tabs>
          <w:tab w:val="left" w:pos="0"/>
        </w:tabs>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1.投标人应在投标截止时间前，按招标文件第一篇规定交纳投标保证金。</w:t>
      </w:r>
    </w:p>
    <w:p w14:paraId="31167499">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2.投标保证金为投标的有效约束条件。</w:t>
      </w:r>
    </w:p>
    <w:p w14:paraId="187071CB">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3.投标保证金的有效期限在投标有效期过后三十天继续有效。</w:t>
      </w:r>
    </w:p>
    <w:p w14:paraId="60D1A133">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4.投标保证金币种应与投标报价币种相同。</w:t>
      </w:r>
    </w:p>
    <w:p w14:paraId="3413C605">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5.《中标通知书》发出后，由</w:t>
      </w:r>
      <w:r>
        <w:rPr>
          <w:rFonts w:hint="eastAsia" w:ascii="宋体" w:hAnsi="宋体" w:eastAsia="宋体" w:cs="宋体"/>
          <w:color w:val="auto"/>
          <w:sz w:val="24"/>
          <w:szCs w:val="24"/>
        </w:rPr>
        <w:t>重庆市公共资源交易中心</w:t>
      </w:r>
      <w:r>
        <w:rPr>
          <w:rFonts w:hint="eastAsia" w:ascii="宋体" w:hAnsi="宋体" w:eastAsia="宋体" w:cs="宋体"/>
          <w:color w:val="auto"/>
          <w:sz w:val="24"/>
        </w:rPr>
        <w:t>五个工作日内退还未中标人的投标保证金；在采购合同签订后，由</w:t>
      </w:r>
      <w:r>
        <w:rPr>
          <w:rFonts w:hint="eastAsia" w:ascii="宋体" w:hAnsi="宋体" w:eastAsia="宋体" w:cs="宋体"/>
          <w:color w:val="auto"/>
          <w:sz w:val="24"/>
          <w:szCs w:val="24"/>
        </w:rPr>
        <w:t>重庆市公共资源交易中心</w:t>
      </w:r>
      <w:r>
        <w:rPr>
          <w:rFonts w:hint="eastAsia" w:ascii="宋体" w:hAnsi="宋体" w:eastAsia="宋体" w:cs="宋体"/>
          <w:color w:val="auto"/>
          <w:sz w:val="24"/>
        </w:rPr>
        <w:t>五个工作日退还中标人的投标保证金。</w:t>
      </w:r>
    </w:p>
    <w:p w14:paraId="0ECC7672">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6.投标人有下列情形之一的，采购人或者采购代理机构可以不退还投标保证金：</w:t>
      </w:r>
    </w:p>
    <w:p w14:paraId="1F650467">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6.1投标人在投标有效期撤回投标文件的；</w:t>
      </w:r>
    </w:p>
    <w:p w14:paraId="58F5FA5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6.2投标人未按规定提交履约保证金的；</w:t>
      </w:r>
    </w:p>
    <w:p w14:paraId="603035E6">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6.3投标人在投标过程中弄虚作假，提供虚假材料的；</w:t>
      </w:r>
    </w:p>
    <w:p w14:paraId="3828DBD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6.4中标人无正当理由不与采购人签订合同的；</w:t>
      </w:r>
    </w:p>
    <w:p w14:paraId="60020FB5">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6.5中标人将中标项目转让给他人或者在投标文件中未说明且未经采购人同意，将中标项目分包给他人的；</w:t>
      </w:r>
    </w:p>
    <w:p w14:paraId="0CA183B2">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6.6中标人拒绝履行合同义务的；</w:t>
      </w:r>
    </w:p>
    <w:p w14:paraId="372190A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6.7其他严重扰乱招投标程序的。</w:t>
      </w:r>
    </w:p>
    <w:p w14:paraId="1C429DD1">
      <w:pPr>
        <w:snapToGrid w:val="0"/>
        <w:spacing w:line="400" w:lineRule="exact"/>
        <w:ind w:firstLine="470" w:firstLineChars="196"/>
        <w:jc w:val="left"/>
        <w:outlineLvl w:val="2"/>
        <w:rPr>
          <w:rFonts w:hint="eastAsia" w:ascii="宋体" w:hAnsi="宋体" w:eastAsia="宋体" w:cs="宋体"/>
          <w:bCs/>
          <w:color w:val="auto"/>
          <w:sz w:val="24"/>
        </w:rPr>
      </w:pPr>
      <w:r>
        <w:rPr>
          <w:rFonts w:hint="eastAsia" w:ascii="宋体" w:hAnsi="宋体" w:eastAsia="宋体" w:cs="宋体"/>
          <w:bCs/>
          <w:color w:val="auto"/>
          <w:sz w:val="24"/>
        </w:rPr>
        <w:t>（五）投标文件的份数和签署</w:t>
      </w:r>
    </w:p>
    <w:p w14:paraId="761D3DCD">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1.投标文件一式</w:t>
      </w:r>
      <w:r>
        <w:rPr>
          <w:rFonts w:hint="eastAsia" w:ascii="宋体" w:hAnsi="宋体" w:eastAsia="宋体" w:cs="宋体"/>
          <w:color w:val="auto"/>
          <w:sz w:val="24"/>
          <w:lang w:val="en-US" w:eastAsia="zh-CN"/>
        </w:rPr>
        <w:t>五</w:t>
      </w:r>
      <w:r>
        <w:rPr>
          <w:rFonts w:hint="eastAsia" w:ascii="宋体" w:hAnsi="宋体" w:eastAsia="宋体" w:cs="宋体"/>
          <w:color w:val="auto"/>
          <w:sz w:val="24"/>
        </w:rPr>
        <w:t>份，其中正本一份，副本</w:t>
      </w:r>
      <w:r>
        <w:rPr>
          <w:rFonts w:hint="eastAsia" w:ascii="宋体" w:hAnsi="宋体" w:eastAsia="宋体" w:cs="宋体"/>
          <w:color w:val="auto"/>
          <w:sz w:val="24"/>
          <w:lang w:val="en-US" w:eastAsia="zh-CN"/>
        </w:rPr>
        <w:t>三</w:t>
      </w:r>
      <w:r>
        <w:rPr>
          <w:rFonts w:hint="eastAsia" w:ascii="宋体" w:hAnsi="宋体" w:eastAsia="宋体" w:cs="宋体"/>
          <w:color w:val="auto"/>
          <w:sz w:val="24"/>
        </w:rPr>
        <w:t>份，电子文档一份（电子文档内容应与投标文件正本一致，推荐采用光盘或U盘为文件载体）。每套投标文件须在封面清楚地标明“正本”、“副本”或“电子文档”，副本应为正本的完整复印件，副本与正本不一致时以正本为准。投标文件电子文档与纸质投标文件正本不一致时，以纸质投标文件正本为准。</w:t>
      </w:r>
    </w:p>
    <w:p w14:paraId="24C90CA6">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2.在投标文件正本中，招标文件第七篇投标文件格式中规定签署、盖章的地方必须按其规定签署、盖章。</w:t>
      </w:r>
    </w:p>
    <w:p w14:paraId="5B9F01AA">
      <w:pPr>
        <w:tabs>
          <w:tab w:val="left" w:pos="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3.若投标人对投标文件的错处作必要修改，则应在修改处加盖投标人公章或由</w:t>
      </w:r>
      <w:r>
        <w:rPr>
          <w:rFonts w:hint="eastAsia" w:ascii="宋体" w:hAnsi="宋体" w:eastAsia="宋体" w:cs="宋体"/>
          <w:color w:val="auto"/>
          <w:sz w:val="24"/>
          <w:szCs w:val="28"/>
        </w:rPr>
        <w:t>法定代表人（或其授权代表）或自然人（投标人为自然人）</w:t>
      </w:r>
      <w:r>
        <w:rPr>
          <w:rFonts w:hint="eastAsia" w:ascii="宋体" w:hAnsi="宋体" w:eastAsia="宋体" w:cs="宋体"/>
          <w:color w:val="auto"/>
          <w:sz w:val="24"/>
        </w:rPr>
        <w:t>签署确认。</w:t>
      </w:r>
    </w:p>
    <w:p w14:paraId="1D7E2E78">
      <w:pPr>
        <w:snapToGrid w:val="0"/>
        <w:spacing w:line="400" w:lineRule="exact"/>
        <w:ind w:firstLine="470" w:firstLineChars="196"/>
        <w:jc w:val="left"/>
        <w:rPr>
          <w:rFonts w:hint="eastAsia" w:ascii="宋体" w:hAnsi="宋体" w:eastAsia="宋体" w:cs="宋体"/>
          <w:bCs/>
          <w:color w:val="auto"/>
          <w:sz w:val="24"/>
        </w:rPr>
      </w:pPr>
      <w:r>
        <w:rPr>
          <w:rFonts w:hint="eastAsia" w:ascii="宋体" w:hAnsi="宋体" w:eastAsia="宋体" w:cs="宋体"/>
          <w:color w:val="auto"/>
          <w:sz w:val="24"/>
        </w:rPr>
        <w:t>4.电报、电话、传真形式的投标文件概不接受。</w:t>
      </w:r>
    </w:p>
    <w:p w14:paraId="6C9C7C4D">
      <w:pPr>
        <w:snapToGrid w:val="0"/>
        <w:spacing w:line="400" w:lineRule="exact"/>
        <w:ind w:firstLine="470" w:firstLineChars="196"/>
        <w:jc w:val="left"/>
        <w:outlineLvl w:val="2"/>
        <w:rPr>
          <w:rFonts w:hint="eastAsia" w:ascii="宋体" w:hAnsi="宋体" w:eastAsia="宋体" w:cs="宋体"/>
          <w:bCs/>
          <w:color w:val="auto"/>
          <w:sz w:val="24"/>
        </w:rPr>
      </w:pPr>
      <w:r>
        <w:rPr>
          <w:rFonts w:hint="eastAsia" w:ascii="宋体" w:hAnsi="宋体" w:eastAsia="宋体" w:cs="宋体"/>
          <w:bCs/>
          <w:color w:val="auto"/>
          <w:sz w:val="24"/>
        </w:rPr>
        <w:t>（六）投标报价</w:t>
      </w:r>
    </w:p>
    <w:p w14:paraId="4EB174D2">
      <w:pPr>
        <w:snapToGrid w:val="0"/>
        <w:spacing w:line="400" w:lineRule="exact"/>
        <w:ind w:firstLine="470" w:firstLineChars="196"/>
        <w:jc w:val="left"/>
        <w:rPr>
          <w:rFonts w:hint="eastAsia" w:ascii="宋体" w:hAnsi="宋体" w:eastAsia="宋体" w:cs="宋体"/>
          <w:color w:val="auto"/>
          <w:sz w:val="24"/>
        </w:rPr>
      </w:pPr>
      <w:r>
        <w:rPr>
          <w:rFonts w:hint="eastAsia" w:ascii="宋体" w:hAnsi="宋体" w:eastAsia="宋体" w:cs="宋体"/>
          <w:bCs/>
          <w:color w:val="auto"/>
          <w:sz w:val="24"/>
        </w:rPr>
        <w:t>1.投标人应严格按照“投标文件格式”中“开标一览表”和“分项报价明细表”</w:t>
      </w:r>
      <w:r>
        <w:rPr>
          <w:rFonts w:hint="eastAsia" w:ascii="宋体" w:hAnsi="宋体" w:eastAsia="宋体" w:cs="宋体"/>
          <w:color w:val="auto"/>
          <w:sz w:val="24"/>
        </w:rPr>
        <w:t>的格式填写报价。</w:t>
      </w:r>
    </w:p>
    <w:p w14:paraId="4BD5ECCF">
      <w:pPr>
        <w:snapToGrid w:val="0"/>
        <w:spacing w:line="400" w:lineRule="exact"/>
        <w:ind w:left="3" w:leftChars="1" w:firstLine="480" w:firstLineChars="200"/>
        <w:rPr>
          <w:rFonts w:hint="eastAsia" w:ascii="宋体" w:hAnsi="宋体" w:eastAsia="宋体" w:cs="宋体"/>
          <w:color w:val="auto"/>
          <w:sz w:val="24"/>
        </w:rPr>
      </w:pPr>
      <w:r>
        <w:rPr>
          <w:rFonts w:hint="eastAsia" w:ascii="宋体" w:hAnsi="宋体" w:eastAsia="宋体" w:cs="宋体"/>
          <w:color w:val="auto"/>
          <w:sz w:val="24"/>
        </w:rPr>
        <w:t>2.投标人的报价为一次性报价，即在投标有效期内投标价格固定不变。</w:t>
      </w:r>
    </w:p>
    <w:p w14:paraId="0CF6537A">
      <w:pPr>
        <w:snapToGrid w:val="0"/>
        <w:spacing w:line="400" w:lineRule="exact"/>
        <w:ind w:left="3" w:leftChars="1" w:firstLine="480" w:firstLineChars="200"/>
        <w:rPr>
          <w:rFonts w:hint="eastAsia" w:ascii="宋体" w:hAnsi="宋体" w:eastAsia="宋体" w:cs="宋体"/>
          <w:color w:val="auto"/>
          <w:sz w:val="24"/>
        </w:rPr>
      </w:pPr>
      <w:r>
        <w:rPr>
          <w:rFonts w:hint="eastAsia" w:ascii="宋体" w:hAnsi="宋体" w:eastAsia="宋体" w:cs="宋体"/>
          <w:color w:val="auto"/>
          <w:sz w:val="24"/>
        </w:rPr>
        <w:t>3.本项目只接受一个投标报价，有选择的或有条件的报价将不予接受。</w:t>
      </w:r>
    </w:p>
    <w:p w14:paraId="215EB343">
      <w:pPr>
        <w:pStyle w:val="3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（七）修正错误</w:t>
      </w:r>
    </w:p>
    <w:p w14:paraId="4AB7F49D">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若投标文件出现计算或表达上的错误，修正错误的原则如下：</w:t>
      </w:r>
    </w:p>
    <w:p w14:paraId="1A106DDF">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1.投标文件中开标一览表（报价表）内容与投标文件中相应内容不一致的，以开标一览表（报价表）为准；</w:t>
      </w:r>
    </w:p>
    <w:p w14:paraId="60E31921">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2.大写金额和小写金额不一致的，以大写金额为准；</w:t>
      </w:r>
    </w:p>
    <w:p w14:paraId="35DAB6B0">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3.单价金额小数点或者百分比有明显错位的，以开标一览表的总价为准，并修改单价；</w:t>
      </w:r>
    </w:p>
    <w:p w14:paraId="356DBD79">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4.总价金额与按单价汇总金额不一致的，以单价金额计算结果为准。</w:t>
      </w:r>
    </w:p>
    <w:p w14:paraId="4AF5254A">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01F33D7C">
      <w:pPr>
        <w:pStyle w:val="3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（八）投标文件的递交</w:t>
      </w:r>
    </w:p>
    <w:p w14:paraId="0F5C3FC8">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投标文件的正本、副本以及电子文档均应密封送达投标地点，应在封套上注明项目名称、投标人名称。若正本、副本以及电子文档分别进行密封的，还应在封套上注明“正本”、“副本”、“电子文档”字样。</w:t>
      </w:r>
    </w:p>
    <w:p w14:paraId="5E24137B">
      <w:pPr>
        <w:pStyle w:val="3"/>
        <w:spacing w:line="400" w:lineRule="exact"/>
        <w:ind w:firstLine="482" w:firstLineChars="200"/>
        <w:rPr>
          <w:rFonts w:hint="eastAsia" w:ascii="宋体" w:hAnsi="宋体" w:eastAsia="宋体" w:cs="宋体"/>
          <w:b/>
          <w:color w:val="auto"/>
          <w:sz w:val="24"/>
        </w:rPr>
      </w:pPr>
      <w:bookmarkStart w:id="544" w:name="_Toc1820"/>
      <w:bookmarkStart w:id="545" w:name="_Toc29335"/>
      <w:bookmarkStart w:id="546" w:name="_Toc12657"/>
      <w:bookmarkStart w:id="547" w:name="_Toc2517"/>
      <w:bookmarkStart w:id="548" w:name="_Toc13013"/>
      <w:bookmarkStart w:id="549" w:name="_Toc13756"/>
      <w:bookmarkStart w:id="550" w:name="_Toc17836"/>
      <w:bookmarkStart w:id="551" w:name="_Toc2597"/>
      <w:bookmarkStart w:id="552" w:name="_Toc17096"/>
      <w:bookmarkStart w:id="553" w:name="_Toc12661"/>
      <w:bookmarkStart w:id="554" w:name="_Toc4765"/>
      <w:bookmarkStart w:id="555" w:name="_Toc23080"/>
      <w:bookmarkStart w:id="556" w:name="_Toc22407"/>
      <w:bookmarkStart w:id="557" w:name="_Toc19532"/>
      <w:bookmarkStart w:id="558" w:name="_Toc75793527"/>
      <w:bookmarkStart w:id="559" w:name="_Toc26616"/>
      <w:bookmarkStart w:id="560" w:name="_Toc1213"/>
      <w:r>
        <w:rPr>
          <w:rFonts w:hint="eastAsia" w:ascii="宋体" w:hAnsi="宋体" w:eastAsia="宋体" w:cs="宋体"/>
          <w:b/>
          <w:color w:val="auto"/>
          <w:sz w:val="24"/>
        </w:rPr>
        <w:t>四、开标</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3F2F9DE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（一）开标应当在招标文件中“投标邀请书”确定的时间和地点公开进行。</w:t>
      </w:r>
    </w:p>
    <w:p w14:paraId="37504DF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（二）采购代理机构可视采购具体情况，延长投标截止时间和开标时间，并将变更时间书面通知所有招标文件收受人。</w:t>
      </w:r>
    </w:p>
    <w:p w14:paraId="25FE139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（三）开标由采购人或采购代理机构主持，邀请投标人和有关监督部门代表参加,有关监督部门可视情况派员现场监督。</w:t>
      </w:r>
    </w:p>
    <w:p w14:paraId="342154D5">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7231E60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（五）未宣读的投标价格、价格折扣和招标文件允许提供的备选投标方案等实质性内容等，评标时不予承认。</w:t>
      </w:r>
    </w:p>
    <w:p w14:paraId="2943BAC8">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（六）开标过程应由采购人或采购代理机构或重庆市公共资源交易中心指定专人负责记录，并存档备查。</w:t>
      </w:r>
    </w:p>
    <w:p w14:paraId="1A48BFB3">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（七）投标人未参加开标的，视同认可开标结果。</w:t>
      </w:r>
    </w:p>
    <w:p w14:paraId="64891FEC">
      <w:pPr>
        <w:pStyle w:val="3"/>
        <w:spacing w:line="400" w:lineRule="exact"/>
        <w:ind w:firstLine="482" w:firstLineChars="200"/>
        <w:rPr>
          <w:rFonts w:hint="eastAsia" w:ascii="宋体" w:hAnsi="宋体" w:eastAsia="宋体" w:cs="宋体"/>
          <w:b/>
          <w:color w:val="auto"/>
          <w:sz w:val="24"/>
        </w:rPr>
      </w:pPr>
      <w:bookmarkStart w:id="561" w:name="_Toc17837"/>
      <w:bookmarkStart w:id="562" w:name="_Toc12882"/>
      <w:bookmarkStart w:id="563" w:name="_Toc26506"/>
      <w:bookmarkStart w:id="564" w:name="_Toc9134"/>
      <w:bookmarkStart w:id="565" w:name="_Toc5409"/>
      <w:bookmarkStart w:id="566" w:name="_Toc179"/>
      <w:bookmarkStart w:id="567" w:name="_Toc8319"/>
      <w:bookmarkStart w:id="568" w:name="_Toc17794"/>
      <w:bookmarkStart w:id="569" w:name="_Toc24485"/>
      <w:bookmarkStart w:id="570" w:name="_Toc25586"/>
      <w:bookmarkStart w:id="571" w:name="_Toc8659"/>
      <w:bookmarkStart w:id="572" w:name="_Toc20739"/>
      <w:bookmarkStart w:id="573" w:name="_Toc868"/>
      <w:bookmarkStart w:id="574" w:name="_Toc75793528"/>
      <w:bookmarkStart w:id="575" w:name="_Toc15031"/>
      <w:bookmarkStart w:id="576" w:name="_Toc13976"/>
      <w:bookmarkStart w:id="577" w:name="_Toc27423"/>
      <w:r>
        <w:rPr>
          <w:rFonts w:hint="eastAsia" w:ascii="宋体" w:hAnsi="宋体" w:eastAsia="宋体" w:cs="宋体"/>
          <w:b/>
          <w:color w:val="auto"/>
          <w:sz w:val="24"/>
        </w:rPr>
        <w:t>五、评标</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205D468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见第四篇“评标”内容。</w:t>
      </w:r>
    </w:p>
    <w:p w14:paraId="6FD57CB4">
      <w:pPr>
        <w:pStyle w:val="3"/>
        <w:spacing w:line="400" w:lineRule="exact"/>
        <w:ind w:firstLine="482" w:firstLineChars="200"/>
        <w:rPr>
          <w:rFonts w:hint="eastAsia" w:ascii="宋体" w:hAnsi="宋体" w:eastAsia="宋体" w:cs="宋体"/>
          <w:b/>
          <w:color w:val="auto"/>
          <w:sz w:val="24"/>
        </w:rPr>
      </w:pPr>
      <w:bookmarkStart w:id="578" w:name="_Toc19677"/>
      <w:bookmarkStart w:id="579" w:name="_Toc9516"/>
      <w:bookmarkStart w:id="580" w:name="_Toc75793529"/>
      <w:bookmarkStart w:id="581" w:name="_Toc29714"/>
      <w:bookmarkStart w:id="582" w:name="_Toc18575"/>
      <w:bookmarkStart w:id="583" w:name="_Toc4529"/>
      <w:bookmarkStart w:id="584" w:name="_Toc6174"/>
      <w:bookmarkStart w:id="585" w:name="_Toc14504"/>
      <w:bookmarkStart w:id="586" w:name="_Toc19170"/>
      <w:bookmarkStart w:id="587" w:name="_Toc26593"/>
      <w:bookmarkStart w:id="588" w:name="_Toc5090"/>
      <w:bookmarkStart w:id="589" w:name="_Toc22130"/>
      <w:bookmarkStart w:id="590" w:name="_Toc27276"/>
      <w:bookmarkStart w:id="591" w:name="_Toc29605"/>
      <w:bookmarkStart w:id="592" w:name="_Toc32002"/>
      <w:bookmarkStart w:id="593" w:name="_Toc4062"/>
      <w:bookmarkStart w:id="594" w:name="_Toc17430"/>
      <w:r>
        <w:rPr>
          <w:rFonts w:hint="eastAsia" w:ascii="宋体" w:hAnsi="宋体" w:eastAsia="宋体" w:cs="宋体"/>
          <w:b/>
          <w:color w:val="auto"/>
          <w:sz w:val="24"/>
        </w:rPr>
        <w:t>六、定标</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258115F">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（一）定标原则</w:t>
      </w:r>
    </w:p>
    <w:p w14:paraId="7B16404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采购人或其授权的评标委员会应按照评标报告中推荐的中标候选人排名顺序确定中标人。</w:t>
      </w:r>
    </w:p>
    <w:p w14:paraId="335BEC0F">
      <w:pPr>
        <w:pStyle w:val="3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（二）定标程序</w:t>
      </w:r>
    </w:p>
    <w:p w14:paraId="7C6F9BCB">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rPr>
        <w:t xml:space="preserve"> </w:t>
      </w:r>
      <w:r>
        <w:rPr>
          <w:rFonts w:hint="eastAsia" w:ascii="宋体" w:hAnsi="宋体" w:eastAsia="宋体" w:cs="宋体"/>
          <w:color w:val="auto"/>
          <w:sz w:val="24"/>
        </w:rPr>
        <w:t>采购代理机构应当在评标结束后2个工作日内将评标报告送采购人。</w:t>
      </w:r>
    </w:p>
    <w:p w14:paraId="4D044E0E">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2.采购人应当自收到评标报告之日起5个工作日内按评标报告推荐的中标候选人顺序确定中标人。</w:t>
      </w:r>
    </w:p>
    <w:p w14:paraId="3650B6A8">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3.采购人或者采购代理机构应当自中标人确定之日起2个工作日内，在重庆市政府采购网上公告中标结果。中标公告期限为1个工作日。</w:t>
      </w:r>
    </w:p>
    <w:p w14:paraId="215B74CE">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4.中标人变更</w:t>
      </w:r>
    </w:p>
    <w:p w14:paraId="16D056AC">
      <w:pPr>
        <w:pStyle w:val="3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中标人拒绝与采购人签订合同的，采购人可以按照评标报告推荐的中标候选人顺序，确定排名下一位的候选人为中标人，也可以重新开展政府采购活动。</w:t>
      </w:r>
    </w:p>
    <w:p w14:paraId="1EDDBC4C">
      <w:pPr>
        <w:pStyle w:val="3"/>
        <w:spacing w:line="400" w:lineRule="exact"/>
        <w:ind w:firstLine="482" w:firstLineChars="200"/>
        <w:rPr>
          <w:rFonts w:hint="eastAsia" w:ascii="宋体" w:hAnsi="宋体" w:eastAsia="宋体" w:cs="宋体"/>
          <w:b/>
          <w:color w:val="auto"/>
          <w:sz w:val="24"/>
        </w:rPr>
      </w:pPr>
      <w:bookmarkStart w:id="595" w:name="_Toc1114"/>
      <w:bookmarkStart w:id="596" w:name="_Toc75793530"/>
      <w:bookmarkStart w:id="597" w:name="_Toc29924"/>
      <w:bookmarkStart w:id="598" w:name="_Toc13250"/>
      <w:bookmarkStart w:id="599" w:name="_Toc12034"/>
      <w:bookmarkStart w:id="600" w:name="_Toc31365"/>
      <w:bookmarkStart w:id="601" w:name="_Toc5060"/>
      <w:bookmarkStart w:id="602" w:name="_Toc30482"/>
      <w:bookmarkStart w:id="603" w:name="_Toc13043"/>
      <w:bookmarkStart w:id="604" w:name="_Toc13010"/>
      <w:bookmarkStart w:id="605" w:name="_Toc8542"/>
      <w:bookmarkStart w:id="606" w:name="_Toc27221"/>
      <w:bookmarkStart w:id="607" w:name="_Toc15468"/>
      <w:bookmarkStart w:id="608" w:name="_Toc2458"/>
      <w:bookmarkStart w:id="609" w:name="_Toc15206"/>
      <w:bookmarkStart w:id="610" w:name="_Toc4551"/>
      <w:bookmarkStart w:id="611" w:name="_Toc30026"/>
      <w:r>
        <w:rPr>
          <w:rFonts w:hint="eastAsia" w:ascii="宋体" w:hAnsi="宋体" w:eastAsia="宋体" w:cs="宋体"/>
          <w:b/>
          <w:color w:val="auto"/>
          <w:sz w:val="24"/>
        </w:rPr>
        <w:t>七、中标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1080BB13">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（一）采购人依法确定中标人后，采购代理机构以书面形式发出中标通知书。</w:t>
      </w:r>
    </w:p>
    <w:p w14:paraId="639D65B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（二）中标通知书发出后，采购人改变中标结果，或者中标人放弃中标，应当承担相应的法律责任。</w:t>
      </w:r>
    </w:p>
    <w:p w14:paraId="2EF4623D">
      <w:pPr>
        <w:pStyle w:val="3"/>
        <w:spacing w:line="400" w:lineRule="exact"/>
        <w:ind w:firstLine="482" w:firstLineChars="200"/>
        <w:rPr>
          <w:rFonts w:hint="eastAsia" w:ascii="宋体" w:hAnsi="宋体" w:eastAsia="宋体" w:cs="宋体"/>
          <w:b/>
          <w:color w:val="auto"/>
          <w:sz w:val="24"/>
        </w:rPr>
      </w:pPr>
      <w:bookmarkStart w:id="612" w:name="_Toc27770"/>
      <w:bookmarkStart w:id="613" w:name="_Toc14518"/>
      <w:bookmarkStart w:id="614" w:name="_Toc9499"/>
      <w:bookmarkStart w:id="615" w:name="_Toc2537"/>
      <w:bookmarkStart w:id="616" w:name="_Toc10950"/>
      <w:bookmarkStart w:id="617" w:name="_Toc26806"/>
      <w:bookmarkStart w:id="618" w:name="_Toc16406"/>
      <w:bookmarkStart w:id="619" w:name="_Toc902"/>
      <w:bookmarkStart w:id="620" w:name="_Toc32509"/>
      <w:bookmarkStart w:id="621" w:name="_Toc32707"/>
      <w:bookmarkStart w:id="622" w:name="_Toc22087"/>
      <w:bookmarkStart w:id="623" w:name="_Toc75793531"/>
      <w:bookmarkStart w:id="624" w:name="_Toc17845"/>
      <w:bookmarkStart w:id="625" w:name="_Toc6815"/>
      <w:bookmarkStart w:id="626" w:name="_Toc23031"/>
      <w:bookmarkStart w:id="627" w:name="_Toc4157"/>
      <w:bookmarkStart w:id="628" w:name="_Toc19477"/>
      <w:r>
        <w:rPr>
          <w:rFonts w:hint="eastAsia" w:ascii="宋体" w:hAnsi="宋体" w:eastAsia="宋体" w:cs="宋体"/>
          <w:b/>
          <w:color w:val="auto"/>
          <w:sz w:val="24"/>
        </w:rPr>
        <w:t>八、询问、质疑和投诉</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09B8E1FC">
      <w:pPr>
        <w:spacing w:line="400" w:lineRule="exact"/>
        <w:ind w:right="12" w:firstLine="480"/>
        <w:outlineLvl w:val="2"/>
        <w:rPr>
          <w:rFonts w:hint="eastAsia" w:ascii="宋体" w:hAnsi="宋体" w:eastAsia="宋体" w:cs="宋体"/>
          <w:color w:val="auto"/>
          <w:sz w:val="24"/>
        </w:rPr>
      </w:pPr>
      <w:r>
        <w:rPr>
          <w:rFonts w:hint="eastAsia" w:ascii="宋体" w:hAnsi="宋体" w:eastAsia="宋体" w:cs="宋体"/>
          <w:color w:val="auto"/>
          <w:sz w:val="24"/>
        </w:rPr>
        <w:t>（一）询问</w:t>
      </w:r>
    </w:p>
    <w:p w14:paraId="371F9551">
      <w:pPr>
        <w:spacing w:line="400" w:lineRule="exact"/>
        <w:ind w:right="12" w:firstLine="480"/>
        <w:rPr>
          <w:rFonts w:hint="eastAsia" w:ascii="宋体" w:hAnsi="宋体" w:eastAsia="宋体" w:cs="宋体"/>
          <w:color w:val="auto"/>
          <w:sz w:val="24"/>
        </w:rPr>
      </w:pPr>
      <w:r>
        <w:rPr>
          <w:rFonts w:hint="eastAsia" w:ascii="宋体" w:hAnsi="宋体" w:eastAsia="宋体" w:cs="宋体"/>
          <w:color w:val="auto"/>
          <w:sz w:val="24"/>
        </w:rPr>
        <w:t>采购人或者采购代理机构应当在3个工作日内对投标人依法提出的询问作出答复。投标人询问可以是口头或书面形式。</w:t>
      </w:r>
    </w:p>
    <w:p w14:paraId="76712AE8">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（二）质疑</w:t>
      </w:r>
    </w:p>
    <w:p w14:paraId="6E2F30C8">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投标人认为采购文件、采购过程和中标结果使自己的权益受到伤害的，可向采购人或采购代理机构以书面形式提出质疑。</w:t>
      </w:r>
    </w:p>
    <w:p w14:paraId="5A7290D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提出质疑的应当是参与所质疑项目采购活动的投标人。 </w:t>
      </w:r>
    </w:p>
    <w:p w14:paraId="33F68A1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1.质疑时限、内容</w:t>
      </w:r>
    </w:p>
    <w:p w14:paraId="6373BDD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1.1投标人对招标文件提出质疑的，应在依法获取招标文件之日或者招标文件公告期限届满之日起七个工作日内提出。</w:t>
      </w:r>
    </w:p>
    <w:p w14:paraId="2A80E19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 投标人对采购过程提出质疑的，应在各采购程序环节结束之日起七个工作日内提出。</w:t>
      </w:r>
    </w:p>
    <w:p w14:paraId="1FED2EE2">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1.3投标人对中标结果提出质疑的，应当在中标结果公告期限届满之日起七个工作日内提出。</w:t>
      </w:r>
    </w:p>
    <w:p w14:paraId="429B48A9">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1.4投标人提出质疑应当提交质疑函和必要的证明材料，质疑函应当包括下列内容：</w:t>
      </w:r>
    </w:p>
    <w:p w14:paraId="334B580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1.4.1</w:t>
      </w:r>
      <w:r>
        <w:rPr>
          <w:rFonts w:hint="eastAsia" w:ascii="宋体" w:hAnsi="宋体" w:eastAsia="宋体" w:cs="宋体"/>
          <w:color w:val="auto"/>
          <w:sz w:val="24"/>
          <w:lang w:eastAsia="zh-CN"/>
        </w:rPr>
        <w:t>投标人</w:t>
      </w:r>
      <w:r>
        <w:rPr>
          <w:rFonts w:hint="eastAsia" w:ascii="宋体" w:hAnsi="宋体" w:eastAsia="宋体" w:cs="宋体"/>
          <w:color w:val="auto"/>
          <w:sz w:val="24"/>
        </w:rPr>
        <w:t>的姓名或者名称、地址、邮编、联系人及联系电话；</w:t>
      </w:r>
    </w:p>
    <w:p w14:paraId="5D5DB703">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1.4.2质疑项目的名称、项目号以及采购执行编号；</w:t>
      </w:r>
    </w:p>
    <w:p w14:paraId="61E88FE2">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1.4.3具体、明确的质疑事项和与质疑事项相关的请求；</w:t>
      </w:r>
    </w:p>
    <w:p w14:paraId="6A665D7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1.4.4事实依据；</w:t>
      </w:r>
    </w:p>
    <w:p w14:paraId="387CACBE">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1.4.5必要的法律依据；</w:t>
      </w:r>
    </w:p>
    <w:p w14:paraId="31CE32C5">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1.4.6提出质疑的日期；</w:t>
      </w:r>
    </w:p>
    <w:p w14:paraId="19D93D9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1.4.7营业执照（或事业单位法人证书，或个体工商户营业执照或有效的自然人身份证明）复印件；</w:t>
      </w:r>
    </w:p>
    <w:p w14:paraId="403BF4E0">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1.4.8法定代表人授权委托书原件、法定代表人身份证复印件和其授权代表的身份证复印件（</w:t>
      </w:r>
      <w:r>
        <w:rPr>
          <w:rFonts w:hint="eastAsia" w:ascii="宋体" w:hAnsi="宋体" w:eastAsia="宋体" w:cs="宋体"/>
          <w:color w:val="auto"/>
          <w:sz w:val="24"/>
          <w:lang w:eastAsia="zh-CN"/>
        </w:rPr>
        <w:t>投标人</w:t>
      </w:r>
      <w:r>
        <w:rPr>
          <w:rFonts w:hint="eastAsia" w:ascii="宋体" w:hAnsi="宋体" w:eastAsia="宋体" w:cs="宋体"/>
          <w:color w:val="auto"/>
          <w:sz w:val="24"/>
        </w:rPr>
        <w:t>为自然人的提供自然人身份证复印件）；</w:t>
      </w:r>
    </w:p>
    <w:p w14:paraId="15D760DC">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w:t>
      </w:r>
      <w:r>
        <w:rPr>
          <w:rFonts w:hint="eastAsia" w:ascii="宋体" w:hAnsi="宋体" w:eastAsia="宋体" w:cs="宋体"/>
          <w:color w:val="auto"/>
          <w:sz w:val="24"/>
          <w:lang w:eastAsia="zh-CN"/>
        </w:rPr>
        <w:t>投标人</w:t>
      </w:r>
      <w:r>
        <w:rPr>
          <w:rFonts w:hint="eastAsia" w:ascii="宋体" w:hAnsi="宋体" w:eastAsia="宋体" w:cs="宋体"/>
          <w:color w:val="auto"/>
          <w:sz w:val="24"/>
        </w:rPr>
        <w:t>为自然人的，质疑函应当由本人签字；</w:t>
      </w:r>
      <w:r>
        <w:rPr>
          <w:rFonts w:hint="eastAsia" w:ascii="宋体" w:hAnsi="宋体" w:eastAsia="宋体" w:cs="宋体"/>
          <w:color w:val="auto"/>
          <w:sz w:val="24"/>
          <w:lang w:eastAsia="zh-CN"/>
        </w:rPr>
        <w:t>投标人</w:t>
      </w:r>
      <w:r>
        <w:rPr>
          <w:rFonts w:hint="eastAsia" w:ascii="宋体" w:hAnsi="宋体" w:eastAsia="宋体" w:cs="宋体"/>
          <w:color w:val="auto"/>
          <w:sz w:val="24"/>
        </w:rPr>
        <w:t>为法人或者其他组织的，质疑函应当由法定代表人、主要负责人，或者其授权代表签字或者盖章，并加盖公章。</w:t>
      </w:r>
    </w:p>
    <w:p w14:paraId="13F23003">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2.质疑答复</w:t>
      </w:r>
    </w:p>
    <w:p w14:paraId="1586D442">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采购人、采购代理机构应当在收到投标人的书面质疑后七个工作日内作出答复，并以书面形式通知质疑投标人和其他有关投标人。</w:t>
      </w:r>
    </w:p>
    <w:p w14:paraId="29D82018">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3.其他</w:t>
      </w:r>
    </w:p>
    <w:p w14:paraId="2DA05A89">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3.1投标人应按照《政府采购质疑和投诉办法》（财政部令第94号）及相关法律法规要求，在法定质疑期内一次性提出针对同一采购程序环节的质疑。</w:t>
      </w:r>
    </w:p>
    <w:p w14:paraId="458C8D5D">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3.2质疑函范本可在财政部门户网站和中国政府采购网下载。</w:t>
      </w:r>
    </w:p>
    <w:p w14:paraId="214885E5">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4.质疑联系方式详见第一篇“联系方式”。</w:t>
      </w:r>
    </w:p>
    <w:p w14:paraId="50C5E22A">
      <w:pPr>
        <w:snapToGrid w:val="0"/>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（三）投诉</w:t>
      </w:r>
    </w:p>
    <w:p w14:paraId="4F1C5615">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1.投标人对采购人、采购代理机构的答复不满意，或者采购人、采购代理机构未在规定时间内作出答复的，可以在答复期满后15个工作日内按照相关法律法规向财政部门提起投诉。</w:t>
      </w:r>
    </w:p>
    <w:p w14:paraId="46768E66">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2.投标人应按照《政府采购质疑和投诉办法》（财政部令第94号）及相关法律法规要求递交投诉书和必要的证明材料。投诉书范本可在财政部门户网站和中国政府采购网下载。</w:t>
      </w:r>
    </w:p>
    <w:p w14:paraId="50A24F5F">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52883B01">
      <w:pPr>
        <w:snapToGrid w:val="0"/>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4.在确定受理投诉后，财政部门自受理投诉之日起30个工作日内（需要检验、检测、鉴定、专家评审以及需要投诉人补正材料的，所需时间不计算在投诉处理期限内）对投诉事项做出处理决定。</w:t>
      </w:r>
    </w:p>
    <w:p w14:paraId="3B0CC158">
      <w:pPr>
        <w:pStyle w:val="3"/>
        <w:spacing w:line="400" w:lineRule="exact"/>
        <w:ind w:firstLine="482" w:firstLineChars="200"/>
        <w:rPr>
          <w:rFonts w:hint="eastAsia" w:ascii="宋体" w:hAnsi="宋体" w:eastAsia="宋体" w:cs="宋体"/>
          <w:b/>
          <w:color w:val="auto"/>
          <w:sz w:val="24"/>
        </w:rPr>
      </w:pPr>
      <w:bookmarkStart w:id="629" w:name="_Toc4606"/>
      <w:bookmarkStart w:id="630" w:name="_Toc418"/>
      <w:bookmarkStart w:id="631" w:name="_Toc9466"/>
      <w:bookmarkStart w:id="632" w:name="_Toc27957"/>
      <w:bookmarkStart w:id="633" w:name="_Toc5437"/>
      <w:bookmarkStart w:id="634" w:name="_Toc28235"/>
      <w:bookmarkStart w:id="635" w:name="_Toc12684"/>
      <w:bookmarkStart w:id="636" w:name="_Toc6890"/>
      <w:bookmarkStart w:id="637" w:name="_Toc12779"/>
      <w:bookmarkStart w:id="638" w:name="_Toc32457"/>
      <w:bookmarkStart w:id="639" w:name="_Toc21973"/>
      <w:bookmarkStart w:id="640" w:name="_Toc75793532"/>
      <w:bookmarkStart w:id="641" w:name="_Toc8407"/>
      <w:bookmarkStart w:id="642" w:name="_Toc6066"/>
      <w:bookmarkStart w:id="643" w:name="_Toc8829"/>
      <w:bookmarkStart w:id="644" w:name="_Toc22508"/>
      <w:bookmarkStart w:id="645" w:name="_Toc27757"/>
      <w:r>
        <w:rPr>
          <w:rFonts w:hint="eastAsia" w:ascii="宋体" w:hAnsi="宋体" w:eastAsia="宋体" w:cs="宋体"/>
          <w:b/>
          <w:color w:val="auto"/>
          <w:sz w:val="24"/>
        </w:rPr>
        <w:t>九、采购代理服务费</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55185FAA">
      <w:pPr>
        <w:spacing w:line="400" w:lineRule="exact"/>
        <w:ind w:firstLine="480" w:firstLineChars="200"/>
        <w:rPr>
          <w:rFonts w:hint="eastAsia" w:ascii="宋体" w:hAnsi="宋体" w:eastAsia="宋体" w:cs="宋体"/>
          <w:b/>
          <w:color w:val="auto"/>
          <w:sz w:val="24"/>
        </w:rPr>
      </w:pPr>
      <w:bookmarkStart w:id="646" w:name="OLE_LINK8"/>
      <w:bookmarkStart w:id="647" w:name="OLE_LINK7"/>
      <w:r>
        <w:rPr>
          <w:rFonts w:hint="eastAsia" w:ascii="宋体" w:hAnsi="宋体" w:eastAsia="宋体" w:cs="宋体"/>
          <w:color w:val="auto"/>
          <w:sz w:val="24"/>
        </w:rPr>
        <w:t>（一）投标人中标后向采购代理机构缴纳招标代理服务费，招标代理服务费的收取标准按照以下标准的</w:t>
      </w:r>
      <w:r>
        <w:rPr>
          <w:rFonts w:hint="eastAsia" w:ascii="宋体" w:hAnsi="宋体" w:eastAsia="宋体" w:cs="宋体"/>
          <w:color w:val="auto"/>
          <w:sz w:val="24"/>
          <w:lang w:val="en-US" w:eastAsia="zh-CN"/>
        </w:rPr>
        <w:t>8</w:t>
      </w:r>
      <w:r>
        <w:rPr>
          <w:rFonts w:hint="eastAsia" w:ascii="宋体" w:hAnsi="宋体" w:eastAsia="宋体" w:cs="宋体"/>
          <w:color w:val="auto"/>
          <w:sz w:val="24"/>
        </w:rPr>
        <w:t>0%执行:</w:t>
      </w:r>
    </w:p>
    <w:bookmarkEnd w:id="646"/>
    <w:bookmarkEnd w:id="647"/>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2273"/>
        <w:gridCol w:w="2273"/>
        <w:gridCol w:w="2272"/>
      </w:tblGrid>
      <w:tr w14:paraId="17CD6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810" w:type="dxa"/>
            <w:tcBorders>
              <w:tl2br w:val="single" w:color="auto" w:sz="4" w:space="0"/>
            </w:tcBorders>
          </w:tcPr>
          <w:p w14:paraId="3E9AA388">
            <w:pPr>
              <w:spacing w:line="240" w:lineRule="atLeast"/>
              <w:jc w:val="right"/>
              <w:rPr>
                <w:rFonts w:hint="eastAsia" w:ascii="宋体" w:hAnsi="宋体" w:eastAsia="宋体" w:cs="宋体"/>
                <w:color w:val="auto"/>
                <w:sz w:val="21"/>
                <w:szCs w:val="21"/>
              </w:rPr>
            </w:pPr>
            <w:bookmarkStart w:id="648" w:name="_Toc20094"/>
            <w:bookmarkStart w:id="649" w:name="_Toc15694"/>
            <w:bookmarkStart w:id="650" w:name="_Toc32236"/>
            <w:bookmarkStart w:id="651" w:name="_Toc27355"/>
            <w:bookmarkStart w:id="652" w:name="_Toc342983494"/>
            <w:bookmarkStart w:id="653" w:name="_Toc15547"/>
            <w:bookmarkStart w:id="654" w:name="_Toc27824"/>
            <w:bookmarkStart w:id="655" w:name="_Toc345318310"/>
            <w:bookmarkStart w:id="656" w:name="_Toc21345"/>
            <w:bookmarkStart w:id="657" w:name="_Toc23674"/>
            <w:bookmarkStart w:id="658" w:name="_Toc343881212"/>
            <w:bookmarkStart w:id="659" w:name="_Toc75793533"/>
            <w:bookmarkStart w:id="660" w:name="_Toc1788"/>
            <w:bookmarkStart w:id="661" w:name="_Toc9407"/>
            <w:bookmarkStart w:id="662" w:name="_Toc18481"/>
            <w:bookmarkStart w:id="663" w:name="_Toc31483"/>
            <w:bookmarkStart w:id="664" w:name="_Toc429584878"/>
            <w:bookmarkStart w:id="665" w:name="_Toc1827"/>
            <w:bookmarkStart w:id="666" w:name="_Toc13008"/>
            <w:r>
              <w:rPr>
                <w:rFonts w:hint="eastAsia" w:ascii="宋体" w:hAnsi="宋体" w:eastAsia="宋体" w:cs="宋体"/>
                <w:color w:val="auto"/>
                <w:sz w:val="21"/>
                <w:szCs w:val="21"/>
              </w:rPr>
              <mc:AlternateContent>
                <mc:Choice Requires="wps">
                  <w:drawing>
                    <wp:anchor distT="0" distB="0" distL="0" distR="0" simplePos="0" relativeHeight="251659264"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1027" name="直接连接符 1"/>
                      <wp:cNvGraphicFramePr/>
                      <a:graphic xmlns:a="http://schemas.openxmlformats.org/drawingml/2006/main">
                        <a:graphicData uri="http://schemas.microsoft.com/office/word/2010/wordprocessingShape">
                          <wps:wsp>
                            <wps:cNvCnPr/>
                            <wps:spPr>
                              <a:xfrm>
                                <a:off x="0" y="0"/>
                                <a:ext cx="635" cy="635"/>
                              </a:xfrm>
                              <a:prstGeom prst="line">
                                <a:avLst/>
                              </a:prstGeom>
                              <a:ln w="9525" cap="flat" cmpd="sng">
                                <a:solidFill>
                                  <a:srgbClr val="000000"/>
                                </a:solidFill>
                                <a:prstDash val="solid"/>
                                <a:round/>
                              </a:ln>
                            </wps:spPr>
                            <wps:bodyPr/>
                          </wps:wsp>
                        </a:graphicData>
                      </a:graphic>
                    </wp:anchor>
                  </w:drawing>
                </mc:Choice>
                <mc:Fallback>
                  <w:pict>
                    <v:line id="直接连接符 1" o:spid="_x0000_s1026" o:spt="20" style="position:absolute;left:0pt;margin-left:-9pt;margin-top:-0.5pt;height:0.05pt;width:0.05pt;z-index:251659264;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Xz75g9YAAAAIAQAADwAAAAAAAAABACAAAAAiAAAA&#10;ZHJzL2Rvd25yZXYueG1sUEsBAhQAFAAAAAgAh07iQN8g/7XQAQAAjwMAAA4AAAAAAAAAAQAgAAAA&#10;JQEAAGRycy9lMm9Eb2MueG1sUEsFBgAAAAAGAAYAWQEAAGcFAAAAAA==&#10;">
                      <v:fill on="f" focussize="0,0"/>
                      <v:stroke color="#000000" joinstyle="round"/>
                      <v:imagedata o:title=""/>
                      <o:lock v:ext="edit" aspectratio="f"/>
                    </v:line>
                  </w:pict>
                </mc:Fallback>
              </mc:AlternateContent>
            </w:r>
            <w:r>
              <w:rPr>
                <w:rFonts w:hint="eastAsia" w:ascii="宋体" w:hAnsi="宋体" w:eastAsia="宋体" w:cs="宋体"/>
                <w:color w:val="auto"/>
                <w:sz w:val="21"/>
                <w:szCs w:val="21"/>
              </w:rPr>
              <w:t>采购类型</w:t>
            </w:r>
          </w:p>
          <w:p w14:paraId="32BE395B">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成交金额（万元）</w:t>
            </w:r>
          </w:p>
        </w:tc>
        <w:tc>
          <w:tcPr>
            <w:tcW w:w="2273" w:type="dxa"/>
            <w:vAlign w:val="center"/>
          </w:tcPr>
          <w:p w14:paraId="04BF7551">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货物采购</w:t>
            </w:r>
          </w:p>
        </w:tc>
        <w:tc>
          <w:tcPr>
            <w:tcW w:w="2273" w:type="dxa"/>
            <w:vAlign w:val="center"/>
          </w:tcPr>
          <w:p w14:paraId="76BE8C08">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服务采购</w:t>
            </w:r>
          </w:p>
        </w:tc>
        <w:tc>
          <w:tcPr>
            <w:tcW w:w="2272" w:type="dxa"/>
            <w:vAlign w:val="center"/>
          </w:tcPr>
          <w:p w14:paraId="24D8170A">
            <w:pPr>
              <w:pStyle w:val="198"/>
              <w:widowControl w:val="0"/>
              <w:pBdr>
                <w:left w:val="none" w:color="auto" w:sz="0" w:space="0"/>
                <w:right w:val="none" w:color="auto" w:sz="0" w:space="0"/>
              </w:pBdr>
              <w:spacing w:before="0" w:beforeAutospacing="0" w:after="0" w:afterAutospacing="0" w:line="240" w:lineRule="atLeas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工程采购</w:t>
            </w:r>
          </w:p>
        </w:tc>
      </w:tr>
      <w:tr w14:paraId="0BED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BB4C1F1">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100及以下</w:t>
            </w:r>
          </w:p>
        </w:tc>
        <w:tc>
          <w:tcPr>
            <w:tcW w:w="2273" w:type="dxa"/>
            <w:vAlign w:val="center"/>
          </w:tcPr>
          <w:p w14:paraId="7FB7F96C">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2273" w:type="dxa"/>
            <w:vAlign w:val="center"/>
          </w:tcPr>
          <w:p w14:paraId="69F3FB96">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2272" w:type="dxa"/>
            <w:vAlign w:val="center"/>
          </w:tcPr>
          <w:p w14:paraId="4B96BF52">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r>
      <w:tr w14:paraId="04C5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74E5BD49">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100-500（含500）</w:t>
            </w:r>
          </w:p>
        </w:tc>
        <w:tc>
          <w:tcPr>
            <w:tcW w:w="2273" w:type="dxa"/>
            <w:vAlign w:val="center"/>
          </w:tcPr>
          <w:p w14:paraId="5B2807DB">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273" w:type="dxa"/>
            <w:vAlign w:val="center"/>
          </w:tcPr>
          <w:p w14:paraId="147E51BD">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0.8%</w:t>
            </w:r>
          </w:p>
        </w:tc>
        <w:tc>
          <w:tcPr>
            <w:tcW w:w="2272" w:type="dxa"/>
            <w:vAlign w:val="center"/>
          </w:tcPr>
          <w:p w14:paraId="7FC02EC0">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0.7%</w:t>
            </w:r>
          </w:p>
        </w:tc>
      </w:tr>
      <w:tr w14:paraId="2E109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795D60B4">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500-1000（含1000）</w:t>
            </w:r>
          </w:p>
        </w:tc>
        <w:tc>
          <w:tcPr>
            <w:tcW w:w="2273" w:type="dxa"/>
            <w:vAlign w:val="center"/>
          </w:tcPr>
          <w:p w14:paraId="34E0FE44">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0.8%</w:t>
            </w:r>
          </w:p>
        </w:tc>
        <w:tc>
          <w:tcPr>
            <w:tcW w:w="2273" w:type="dxa"/>
            <w:vAlign w:val="center"/>
          </w:tcPr>
          <w:p w14:paraId="5E1C6A1E">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0.45%</w:t>
            </w:r>
          </w:p>
        </w:tc>
        <w:tc>
          <w:tcPr>
            <w:tcW w:w="2272" w:type="dxa"/>
            <w:vAlign w:val="center"/>
          </w:tcPr>
          <w:p w14:paraId="1B45F367">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0.55%</w:t>
            </w:r>
          </w:p>
        </w:tc>
      </w:tr>
      <w:tr w14:paraId="32A5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1FA51EE1">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1000-5000（含5000）</w:t>
            </w:r>
          </w:p>
        </w:tc>
        <w:tc>
          <w:tcPr>
            <w:tcW w:w="2273" w:type="dxa"/>
            <w:vAlign w:val="center"/>
          </w:tcPr>
          <w:p w14:paraId="6AD20C3F">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0.5%</w:t>
            </w:r>
          </w:p>
        </w:tc>
        <w:tc>
          <w:tcPr>
            <w:tcW w:w="2273" w:type="dxa"/>
            <w:vAlign w:val="center"/>
          </w:tcPr>
          <w:p w14:paraId="0B8B8F08">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0.25%</w:t>
            </w:r>
          </w:p>
        </w:tc>
        <w:tc>
          <w:tcPr>
            <w:tcW w:w="2272" w:type="dxa"/>
            <w:vAlign w:val="center"/>
          </w:tcPr>
          <w:p w14:paraId="54BC9018">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0.35%</w:t>
            </w:r>
          </w:p>
        </w:tc>
      </w:tr>
      <w:tr w14:paraId="0357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020A49FF">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5000-10000（含10000）</w:t>
            </w:r>
          </w:p>
        </w:tc>
        <w:tc>
          <w:tcPr>
            <w:tcW w:w="2273" w:type="dxa"/>
            <w:vAlign w:val="center"/>
          </w:tcPr>
          <w:p w14:paraId="5E012CCB">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0.25%</w:t>
            </w:r>
          </w:p>
        </w:tc>
        <w:tc>
          <w:tcPr>
            <w:tcW w:w="2273" w:type="dxa"/>
            <w:vAlign w:val="center"/>
          </w:tcPr>
          <w:p w14:paraId="2A028444">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0.1%</w:t>
            </w:r>
          </w:p>
        </w:tc>
        <w:tc>
          <w:tcPr>
            <w:tcW w:w="2272" w:type="dxa"/>
            <w:vAlign w:val="center"/>
          </w:tcPr>
          <w:p w14:paraId="20AA2E94">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r>
      <w:tr w14:paraId="7C61A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02DBC658">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10000-50000（含50000）</w:t>
            </w:r>
          </w:p>
        </w:tc>
        <w:tc>
          <w:tcPr>
            <w:tcW w:w="2273" w:type="dxa"/>
            <w:vAlign w:val="center"/>
          </w:tcPr>
          <w:p w14:paraId="3F63C4E2">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0.05%</w:t>
            </w:r>
          </w:p>
        </w:tc>
        <w:tc>
          <w:tcPr>
            <w:tcW w:w="2273" w:type="dxa"/>
            <w:vAlign w:val="center"/>
          </w:tcPr>
          <w:p w14:paraId="78C68ACE">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0.05%</w:t>
            </w:r>
          </w:p>
        </w:tc>
        <w:tc>
          <w:tcPr>
            <w:tcW w:w="2272" w:type="dxa"/>
            <w:vAlign w:val="center"/>
          </w:tcPr>
          <w:p w14:paraId="28B50DFE">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0.05%</w:t>
            </w:r>
          </w:p>
        </w:tc>
      </w:tr>
      <w:tr w14:paraId="69DC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1424B435">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50000-100000（含100000）</w:t>
            </w:r>
          </w:p>
        </w:tc>
        <w:tc>
          <w:tcPr>
            <w:tcW w:w="2273" w:type="dxa"/>
            <w:vAlign w:val="center"/>
          </w:tcPr>
          <w:p w14:paraId="6FB46B22">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0.035%</w:t>
            </w:r>
          </w:p>
        </w:tc>
        <w:tc>
          <w:tcPr>
            <w:tcW w:w="2273" w:type="dxa"/>
            <w:vAlign w:val="center"/>
          </w:tcPr>
          <w:p w14:paraId="4E52E693">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0.035%</w:t>
            </w:r>
          </w:p>
        </w:tc>
        <w:tc>
          <w:tcPr>
            <w:tcW w:w="2272" w:type="dxa"/>
            <w:vAlign w:val="center"/>
          </w:tcPr>
          <w:p w14:paraId="7FDFE52F">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0.035%</w:t>
            </w:r>
          </w:p>
        </w:tc>
      </w:tr>
    </w:tbl>
    <w:p w14:paraId="0469A4D3">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注：采购代理服务收费按差额定率累进法计算。例如：某货物采购代理业务中标金额为 </w:t>
      </w:r>
      <w:r>
        <w:rPr>
          <w:rFonts w:hint="eastAsia" w:ascii="宋体" w:hAnsi="宋体" w:eastAsia="宋体" w:cs="宋体"/>
          <w:color w:val="auto"/>
          <w:sz w:val="24"/>
          <w:lang w:val="en-US" w:eastAsia="zh-CN"/>
        </w:rPr>
        <w:t>125</w:t>
      </w:r>
      <w:r>
        <w:rPr>
          <w:rFonts w:hint="eastAsia" w:ascii="宋体" w:hAnsi="宋体" w:eastAsia="宋体" w:cs="宋体"/>
          <w:color w:val="auto"/>
          <w:sz w:val="24"/>
        </w:rPr>
        <w:t>万元，计算采购代理服务收费额如下：</w:t>
      </w:r>
    </w:p>
    <w:p w14:paraId="36EB208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100万元×1.5%=1.5万元</w:t>
      </w:r>
    </w:p>
    <w:p w14:paraId="4F359FAC">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125</w:t>
      </w:r>
      <w:r>
        <w:rPr>
          <w:rFonts w:hint="eastAsia" w:ascii="宋体" w:hAnsi="宋体" w:eastAsia="宋体" w:cs="宋体"/>
          <w:color w:val="auto"/>
          <w:sz w:val="24"/>
        </w:rPr>
        <w:t>-100）万元×1.1%=</w:t>
      </w:r>
      <w:r>
        <w:rPr>
          <w:rFonts w:hint="eastAsia" w:ascii="宋体" w:hAnsi="宋体" w:eastAsia="宋体" w:cs="宋体"/>
          <w:color w:val="auto"/>
          <w:sz w:val="24"/>
          <w:lang w:val="en-US" w:eastAsia="zh-CN"/>
        </w:rPr>
        <w:t>3.19</w:t>
      </w:r>
      <w:r>
        <w:rPr>
          <w:rFonts w:hint="eastAsia" w:ascii="宋体" w:hAnsi="宋体" w:eastAsia="宋体" w:cs="宋体"/>
          <w:color w:val="auto"/>
          <w:sz w:val="24"/>
        </w:rPr>
        <w:t>万元</w:t>
      </w:r>
    </w:p>
    <w:p w14:paraId="2889EDB3">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合计收费=（1.5+</w:t>
      </w:r>
      <w:r>
        <w:rPr>
          <w:rFonts w:hint="eastAsia" w:ascii="宋体" w:hAnsi="宋体" w:eastAsia="宋体" w:cs="宋体"/>
          <w:color w:val="auto"/>
          <w:sz w:val="24"/>
          <w:lang w:val="en-US" w:eastAsia="zh-CN"/>
        </w:rPr>
        <w:t>3.19</w:t>
      </w:r>
      <w:r>
        <w:rPr>
          <w:rFonts w:hint="eastAsia" w:ascii="宋体" w:hAnsi="宋体" w:eastAsia="宋体" w:cs="宋体"/>
          <w:color w:val="auto"/>
          <w:sz w:val="24"/>
        </w:rPr>
        <w:t>）×70%=</w:t>
      </w:r>
      <w:r>
        <w:rPr>
          <w:rFonts w:hint="eastAsia" w:ascii="宋体" w:hAnsi="宋体" w:eastAsia="宋体" w:cs="宋体"/>
          <w:color w:val="auto"/>
          <w:sz w:val="24"/>
          <w:lang w:val="en-US" w:eastAsia="zh-CN"/>
        </w:rPr>
        <w:t>3.283</w:t>
      </w:r>
      <w:r>
        <w:rPr>
          <w:rFonts w:hint="eastAsia" w:ascii="宋体" w:hAnsi="宋体" w:eastAsia="宋体" w:cs="宋体"/>
          <w:color w:val="auto"/>
          <w:sz w:val="24"/>
        </w:rPr>
        <w:t>（万元）</w:t>
      </w:r>
    </w:p>
    <w:p w14:paraId="117A8D8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（二）采购代理服务费缴纳账号：</w:t>
      </w:r>
    </w:p>
    <w:p w14:paraId="41EBE164">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户  名：四川国际招标有限责任公司重庆分公司</w:t>
      </w:r>
    </w:p>
    <w:p w14:paraId="65DF8CCB">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开户行：招商银行重庆分行冉家坝支行</w:t>
      </w:r>
    </w:p>
    <w:p w14:paraId="4CDF85C4">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账  号：123910264110501</w:t>
      </w:r>
    </w:p>
    <w:p w14:paraId="4CE6C00C">
      <w:pPr>
        <w:pStyle w:val="3"/>
        <w:spacing w:line="400" w:lineRule="exact"/>
        <w:ind w:firstLine="482" w:firstLineChars="200"/>
        <w:rPr>
          <w:rFonts w:hint="eastAsia" w:ascii="宋体" w:hAnsi="宋体" w:eastAsia="宋体" w:cs="宋体"/>
          <w:b/>
          <w:color w:val="auto"/>
          <w:sz w:val="24"/>
        </w:rPr>
      </w:pPr>
      <w:bookmarkStart w:id="667" w:name="_Toc13929"/>
      <w:bookmarkStart w:id="668" w:name="_Toc12654"/>
      <w:r>
        <w:rPr>
          <w:rFonts w:hint="eastAsia" w:ascii="宋体" w:hAnsi="宋体" w:eastAsia="宋体" w:cs="宋体"/>
          <w:b/>
          <w:color w:val="auto"/>
          <w:sz w:val="24"/>
        </w:rPr>
        <w:t>十、交易服务费</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183D979F">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rPr>
        <w:t>投标人中标后向“重庆联合产权交易所集团股份有限公司”缴纳交易服务费，服务费的收取标准按渝发改收费〔</w:t>
      </w:r>
      <w:r>
        <w:rPr>
          <w:rFonts w:hint="eastAsia" w:ascii="宋体" w:hAnsi="宋体" w:eastAsia="宋体" w:cs="宋体"/>
          <w:color w:val="auto"/>
          <w:sz w:val="24"/>
          <w:lang w:eastAsia="zh-CN"/>
        </w:rPr>
        <w:t>202</w:t>
      </w:r>
      <w:r>
        <w:rPr>
          <w:rFonts w:hint="eastAsia" w:ascii="宋体" w:hAnsi="宋体" w:eastAsia="宋体" w:cs="宋体"/>
          <w:color w:val="auto"/>
          <w:sz w:val="24"/>
          <w:lang w:val="en-US" w:eastAsia="zh-CN"/>
        </w:rPr>
        <w:t>3</w:t>
      </w:r>
      <w:r>
        <w:rPr>
          <w:rFonts w:hint="eastAsia" w:ascii="宋体" w:hAnsi="宋体" w:eastAsia="宋体" w:cs="宋体"/>
          <w:color w:val="auto"/>
          <w:sz w:val="24"/>
        </w:rPr>
        <w:t>〕115号执行。</w:t>
      </w:r>
    </w:p>
    <w:p w14:paraId="5ECC132A">
      <w:pPr>
        <w:snapToGrid w:val="0"/>
        <w:spacing w:line="40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重庆市公共资源交易中心咨询电话：023-63625633</w:t>
      </w:r>
    </w:p>
    <w:p w14:paraId="652A3102">
      <w:pPr>
        <w:pStyle w:val="3"/>
        <w:spacing w:line="400" w:lineRule="exact"/>
        <w:ind w:firstLine="482" w:firstLineChars="200"/>
        <w:rPr>
          <w:rFonts w:hint="eastAsia" w:ascii="宋体" w:hAnsi="宋体" w:eastAsia="宋体" w:cs="宋体"/>
          <w:b/>
          <w:color w:val="auto"/>
          <w:sz w:val="24"/>
        </w:rPr>
      </w:pPr>
      <w:bookmarkStart w:id="669" w:name="_Toc17066"/>
      <w:bookmarkStart w:id="670" w:name="_Toc26946"/>
      <w:bookmarkStart w:id="671" w:name="_Toc8954"/>
      <w:bookmarkStart w:id="672" w:name="_Toc10797"/>
      <w:bookmarkStart w:id="673" w:name="_Toc30396"/>
      <w:bookmarkStart w:id="674" w:name="_Toc25158"/>
      <w:bookmarkStart w:id="675" w:name="_Toc32745"/>
      <w:bookmarkStart w:id="676" w:name="_Toc20263"/>
      <w:bookmarkStart w:id="677" w:name="_Toc75793534"/>
      <w:bookmarkStart w:id="678" w:name="_Toc25630"/>
      <w:bookmarkStart w:id="679" w:name="_Toc1312"/>
      <w:bookmarkStart w:id="680" w:name="_Toc9036"/>
      <w:bookmarkStart w:id="681" w:name="_Toc18724"/>
      <w:bookmarkStart w:id="682" w:name="_Toc19828"/>
      <w:bookmarkStart w:id="683" w:name="_Toc9444"/>
      <w:bookmarkStart w:id="684" w:name="_Toc23988"/>
      <w:bookmarkStart w:id="685" w:name="_Toc29629"/>
      <w:r>
        <w:rPr>
          <w:rFonts w:hint="eastAsia" w:ascii="宋体" w:hAnsi="宋体" w:eastAsia="宋体" w:cs="宋体"/>
          <w:b/>
          <w:color w:val="auto"/>
          <w:sz w:val="24"/>
        </w:rPr>
        <w:t>十一、签订合同</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247E85D5">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（一）采购人原则上应在中标通知书发出之日起二十日内和中标人签订政府采购合同，无正当理由不得拒绝或拖延合同签订。所签订的合同不得对招标文件和中标人投标文件作实质性修改。</w:t>
      </w:r>
      <w:r>
        <w:rPr>
          <w:rFonts w:hint="eastAsia" w:ascii="宋体" w:hAnsi="宋体" w:eastAsia="宋体" w:cs="宋体"/>
          <w:color w:val="auto"/>
          <w:kern w:val="0"/>
          <w:sz w:val="24"/>
          <w:szCs w:val="24"/>
        </w:rPr>
        <w:t>其他未尽事宜由采购人和中标人在采购合同中详细约定。</w:t>
      </w:r>
    </w:p>
    <w:p w14:paraId="3C5F2E3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117F3A0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（三）招标文件、中标人的投标文件及澄清文件等，均为签订政府采购合同的依据。</w:t>
      </w:r>
    </w:p>
    <w:p w14:paraId="1F6BE30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（四）合同生效条款由供需双方约定，法律、行政法规规定应当办理批准、登记等手续后生效的合同，依照其规定。</w:t>
      </w:r>
    </w:p>
    <w:p w14:paraId="10CF9B5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（五）合同原则上应按照《重庆市政府采购合同》签订，相关单位要求适用合同通用格式版本的，应按其要求另行签订其他合同。</w:t>
      </w:r>
    </w:p>
    <w:p w14:paraId="3B667061">
      <w:pPr>
        <w:pStyle w:val="3"/>
        <w:spacing w:line="400" w:lineRule="exact"/>
        <w:ind w:firstLine="482" w:firstLineChars="200"/>
        <w:rPr>
          <w:rFonts w:hint="eastAsia" w:ascii="宋体" w:hAnsi="宋体" w:eastAsia="宋体" w:cs="宋体"/>
          <w:b/>
          <w:color w:val="auto"/>
          <w:sz w:val="24"/>
        </w:rPr>
      </w:pPr>
      <w:bookmarkStart w:id="686" w:name="_Toc23965"/>
      <w:bookmarkStart w:id="687" w:name="_Toc11558"/>
      <w:bookmarkStart w:id="688" w:name="_Toc11349"/>
      <w:bookmarkStart w:id="689" w:name="_Toc23671"/>
      <w:bookmarkStart w:id="690" w:name="_Toc9393"/>
      <w:bookmarkStart w:id="691" w:name="_Toc4207"/>
      <w:bookmarkStart w:id="692" w:name="_Toc13934"/>
      <w:bookmarkStart w:id="693" w:name="_Toc1406"/>
      <w:bookmarkStart w:id="694" w:name="_Toc4923"/>
      <w:bookmarkStart w:id="695" w:name="_Toc29139"/>
      <w:bookmarkStart w:id="696" w:name="_Toc26438"/>
      <w:bookmarkStart w:id="697" w:name="_Toc25795"/>
      <w:bookmarkStart w:id="698" w:name="_Toc1743"/>
      <w:bookmarkStart w:id="699" w:name="_Toc13027"/>
      <w:bookmarkStart w:id="700" w:name="_Toc11915"/>
      <w:r>
        <w:rPr>
          <w:rFonts w:hint="eastAsia" w:ascii="宋体" w:hAnsi="宋体" w:eastAsia="宋体" w:cs="宋体"/>
          <w:b/>
          <w:color w:val="auto"/>
          <w:sz w:val="24"/>
        </w:rPr>
        <w:t>十二、</w:t>
      </w:r>
      <w:bookmarkEnd w:id="686"/>
      <w:bookmarkEnd w:id="687"/>
      <w:bookmarkEnd w:id="688"/>
      <w:bookmarkEnd w:id="689"/>
      <w:r>
        <w:rPr>
          <w:rFonts w:hint="eastAsia" w:ascii="宋体" w:hAnsi="宋体" w:eastAsia="宋体" w:cs="宋体"/>
          <w:b/>
          <w:color w:val="auto"/>
          <w:sz w:val="24"/>
        </w:rPr>
        <w:t>项目验收</w:t>
      </w:r>
      <w:bookmarkEnd w:id="690"/>
      <w:bookmarkEnd w:id="691"/>
      <w:bookmarkEnd w:id="692"/>
      <w:bookmarkEnd w:id="693"/>
      <w:bookmarkEnd w:id="694"/>
      <w:bookmarkEnd w:id="695"/>
      <w:bookmarkEnd w:id="696"/>
      <w:bookmarkEnd w:id="697"/>
      <w:bookmarkEnd w:id="698"/>
      <w:bookmarkEnd w:id="699"/>
      <w:bookmarkEnd w:id="700"/>
    </w:p>
    <w:p w14:paraId="4F9E3EA6">
      <w:pPr>
        <w:ind w:firstLine="480"/>
        <w:rPr>
          <w:rFonts w:hint="eastAsia" w:ascii="宋体" w:hAnsi="宋体" w:eastAsia="宋体" w:cs="宋体"/>
          <w:b/>
          <w:color w:val="auto"/>
          <w:sz w:val="24"/>
        </w:rPr>
      </w:pPr>
      <w:r>
        <w:rPr>
          <w:rFonts w:hint="eastAsia" w:ascii="宋体" w:hAnsi="宋体" w:eastAsia="宋体" w:cs="宋体"/>
          <w:color w:val="auto"/>
          <w:sz w:val="24"/>
        </w:rPr>
        <w:t>合同执行完毕，采购人或采购代理机构原则上应在7个工作日内组织履约情况验收，不得无故拖延或附加额外条件。</w:t>
      </w:r>
      <w:bookmarkStart w:id="701" w:name="_Toc13050"/>
      <w:bookmarkStart w:id="702" w:name="_Toc31383"/>
      <w:bookmarkStart w:id="703" w:name="_Toc75793535"/>
      <w:bookmarkStart w:id="704" w:name="_Toc21850"/>
      <w:bookmarkStart w:id="705" w:name="_Toc20328"/>
      <w:bookmarkStart w:id="706" w:name="_Toc13002"/>
      <w:bookmarkStart w:id="707" w:name="_Toc31578"/>
      <w:bookmarkStart w:id="708" w:name="_Toc2195"/>
      <w:bookmarkStart w:id="709" w:name="_Toc13368"/>
      <w:bookmarkStart w:id="710" w:name="_Toc19188"/>
      <w:bookmarkStart w:id="711" w:name="_Toc3421"/>
      <w:bookmarkStart w:id="712" w:name="_Toc15435"/>
    </w:p>
    <w:p w14:paraId="36686976">
      <w:pPr>
        <w:pStyle w:val="3"/>
        <w:spacing w:line="400" w:lineRule="exact"/>
        <w:ind w:firstLine="482" w:firstLineChars="200"/>
        <w:rPr>
          <w:rFonts w:hint="eastAsia" w:ascii="宋体" w:hAnsi="宋体" w:eastAsia="宋体" w:cs="宋体"/>
          <w:b/>
          <w:color w:val="auto"/>
          <w:sz w:val="24"/>
        </w:rPr>
      </w:pPr>
      <w:bookmarkStart w:id="713" w:name="_Toc27353"/>
      <w:bookmarkStart w:id="714" w:name="_Toc1344"/>
      <w:bookmarkStart w:id="715" w:name="_Toc11867"/>
      <w:bookmarkStart w:id="716" w:name="_Toc24722"/>
      <w:bookmarkStart w:id="717" w:name="_Toc6111"/>
      <w:r>
        <w:rPr>
          <w:rFonts w:hint="eastAsia" w:ascii="宋体" w:hAnsi="宋体" w:eastAsia="宋体" w:cs="宋体"/>
          <w:b/>
          <w:color w:val="auto"/>
          <w:sz w:val="24"/>
        </w:rPr>
        <w:t>十三、政府采购信用融资</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1FC7B51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59FC283A">
      <w:pPr>
        <w:pStyle w:val="2"/>
        <w:spacing w:before="0" w:after="0" w:line="360" w:lineRule="auto"/>
        <w:rPr>
          <w:rFonts w:hint="eastAsia" w:ascii="宋体" w:hAnsi="宋体" w:eastAsia="宋体" w:cs="宋体"/>
          <w:b/>
          <w:color w:val="auto"/>
        </w:rPr>
      </w:pPr>
      <w:r>
        <w:rPr>
          <w:rFonts w:hint="eastAsia" w:ascii="宋体" w:hAnsi="宋体" w:eastAsia="宋体" w:cs="宋体"/>
          <w:color w:val="auto"/>
        </w:rPr>
        <w:br w:type="page"/>
      </w:r>
      <w:bookmarkStart w:id="718" w:name="_Toc28592"/>
      <w:bookmarkStart w:id="719" w:name="_Toc9505"/>
      <w:bookmarkStart w:id="720" w:name="_Toc7598"/>
      <w:bookmarkStart w:id="721" w:name="_Toc21870"/>
      <w:bookmarkStart w:id="722" w:name="_Toc12210"/>
      <w:bookmarkStart w:id="723" w:name="_Toc128"/>
      <w:bookmarkStart w:id="724" w:name="_Toc4020"/>
      <w:bookmarkStart w:id="725" w:name="_Toc13696"/>
      <w:bookmarkStart w:id="726" w:name="_Toc75793536"/>
      <w:bookmarkStart w:id="727" w:name="_Toc4454"/>
      <w:bookmarkStart w:id="728" w:name="_Toc9831"/>
      <w:bookmarkStart w:id="729" w:name="_Toc5544"/>
      <w:bookmarkStart w:id="730" w:name="_Toc3344"/>
      <w:bookmarkStart w:id="731" w:name="_Toc17885"/>
      <w:bookmarkStart w:id="732" w:name="_Toc5880"/>
      <w:bookmarkStart w:id="733" w:name="_Toc19939"/>
      <w:bookmarkStart w:id="734" w:name="_Toc29143"/>
      <w:r>
        <w:rPr>
          <w:rFonts w:hint="eastAsia" w:ascii="宋体" w:hAnsi="宋体" w:eastAsia="宋体" w:cs="宋体"/>
          <w:b/>
          <w:color w:val="auto"/>
        </w:rPr>
        <w:t>第六篇  合同主要条款和格式合同（样本）</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14:paraId="2C895169">
      <w:pPr>
        <w:pStyle w:val="3"/>
        <w:spacing w:line="400" w:lineRule="exact"/>
        <w:ind w:firstLine="482" w:firstLineChars="200"/>
        <w:rPr>
          <w:rFonts w:hint="eastAsia" w:ascii="宋体" w:hAnsi="宋体" w:eastAsia="宋体" w:cs="宋体"/>
          <w:b/>
          <w:color w:val="auto"/>
          <w:sz w:val="24"/>
        </w:rPr>
      </w:pPr>
      <w:bookmarkStart w:id="735" w:name="_Toc4064"/>
      <w:bookmarkStart w:id="736" w:name="_Toc29567"/>
      <w:bookmarkStart w:id="737" w:name="_Toc16344"/>
      <w:bookmarkStart w:id="738" w:name="_Toc6013"/>
      <w:bookmarkStart w:id="739" w:name="_Toc22555"/>
      <w:bookmarkStart w:id="740" w:name="_Toc19301"/>
      <w:bookmarkStart w:id="741" w:name="_Toc15259"/>
      <w:bookmarkStart w:id="742" w:name="_Toc27008"/>
      <w:bookmarkStart w:id="743" w:name="_Toc75793537"/>
      <w:bookmarkStart w:id="744" w:name="_Toc277084870"/>
      <w:bookmarkStart w:id="745" w:name="_Toc285722712"/>
      <w:bookmarkStart w:id="746" w:name="_Toc32158"/>
      <w:bookmarkStart w:id="747" w:name="_Toc16546"/>
      <w:bookmarkStart w:id="748" w:name="_Toc15196"/>
      <w:bookmarkStart w:id="749" w:name="_Toc27462"/>
      <w:bookmarkStart w:id="750" w:name="_Toc21511"/>
      <w:bookmarkStart w:id="751" w:name="_Toc2644"/>
      <w:bookmarkStart w:id="752" w:name="_Toc23921"/>
      <w:bookmarkStart w:id="753" w:name="_Toc14471"/>
      <w:r>
        <w:rPr>
          <w:rFonts w:hint="eastAsia" w:ascii="宋体" w:hAnsi="宋体" w:eastAsia="宋体" w:cs="宋体"/>
          <w:b/>
          <w:color w:val="auto"/>
          <w:sz w:val="24"/>
        </w:rPr>
        <w:t>一、合同主要条款</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3D2BA50A">
      <w:pPr>
        <w:spacing w:line="400" w:lineRule="exact"/>
        <w:ind w:firstLine="480" w:firstLineChars="200"/>
        <w:rPr>
          <w:rFonts w:hint="eastAsia" w:ascii="宋体" w:hAnsi="宋体" w:eastAsia="宋体" w:cs="宋体"/>
          <w:color w:val="auto"/>
          <w:sz w:val="24"/>
        </w:rPr>
      </w:pPr>
    </w:p>
    <w:p w14:paraId="05C493D3">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1.定义</w:t>
      </w:r>
    </w:p>
    <w:p w14:paraId="0726280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1.1甲方（需方）即采购人，是指通过招标采购，接受合同货物及服务的各级国家机关、事业单位和团体组织。</w:t>
      </w:r>
    </w:p>
    <w:p w14:paraId="484A23B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1.2乙方（供方）即中标人，是指中标后提供合同货物和服务的自然人、法人及其他组织。</w:t>
      </w:r>
    </w:p>
    <w:p w14:paraId="147ED56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1.3合同是指由甲乙双方按照招标文件和投标文件的实质性内容，通过协商一致达成的书面协议。</w:t>
      </w:r>
    </w:p>
    <w:p w14:paraId="57E853B3">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1.4合同价格指以中标价格为依据，在供方全面履行合同义务后，需方（或财政部门）应支付给供方的金额。</w:t>
      </w:r>
    </w:p>
    <w:p w14:paraId="3D95C35C">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1.5技术资料是指合同货物及其相关的设计、制造、监造、检验、验收等文件（包括图纸、各种文字说明、标准）。</w:t>
      </w:r>
    </w:p>
    <w:p w14:paraId="726E0D30">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2.货物内容</w:t>
      </w:r>
    </w:p>
    <w:p w14:paraId="4054AF2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合同包括以下内容：货物名称、型号规格、技术参数、数量（单位）等内容。</w:t>
      </w:r>
    </w:p>
    <w:p w14:paraId="0430DCEE">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3.合同价格</w:t>
      </w:r>
    </w:p>
    <w:p w14:paraId="4AE3009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3.1合同价格即合同总价。</w:t>
      </w:r>
    </w:p>
    <w:p w14:paraId="4E8BECE1">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3.2合同价格包括合同货物、技术资料、合同货物的税费、运杂费、保险费、包装费、装卸费及与货物有关的供方应纳的税费，所有税费由乙方负担。</w:t>
      </w:r>
    </w:p>
    <w:p w14:paraId="5BF00C0B">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3.3合同货物单价为不变价。</w:t>
      </w:r>
    </w:p>
    <w:p w14:paraId="5646229A">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4.转包或分包</w:t>
      </w:r>
    </w:p>
    <w:p w14:paraId="6EA9E6E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4.1本合同范围的货物，应由乙方直接供应，不得转让他人供应；</w:t>
      </w:r>
    </w:p>
    <w:p w14:paraId="1FBA10AF">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4.2非经甲方书面同意，乙方不得将本合同范围的货物全部或部分分包给他人供应；</w:t>
      </w:r>
    </w:p>
    <w:p w14:paraId="1E32981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4.3如有转让和未经甲方同意的分包行为，甲方有权解除合同，没收履约保证金并追究乙方的违约责任。</w:t>
      </w:r>
    </w:p>
    <w:p w14:paraId="5B773FE3">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5.质量保证及售后服务</w:t>
      </w:r>
    </w:p>
    <w:p w14:paraId="555ADF7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5.1乙方应按招标文件规定的货物性能、技术要求、质量标准向甲方提供未经使用的全新产品。</w:t>
      </w:r>
    </w:p>
    <w:p w14:paraId="2DFE177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5.2乙方提供的货物在质保期内因货物本身的质量问题发生故障，乙方应负责免费更换。对达不到技术要求者，根据实际情况，经双方协商，可按以下办法处理：</w:t>
      </w:r>
    </w:p>
    <w:p w14:paraId="094BE5E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5.2.1更换：由乙方承担所发生的全部费用。</w:t>
      </w:r>
    </w:p>
    <w:p w14:paraId="25F584E7">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5.2.2贬值处理：由甲乙双方合议定价。</w:t>
      </w:r>
    </w:p>
    <w:p w14:paraId="5AF12CA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5.2.3退货处理：乙方应退还甲方支付的合同款，同时应承担该货物的直接费用（运输、保险、检验、货款利息及银行手续费等）。</w:t>
      </w:r>
    </w:p>
    <w:p w14:paraId="3441D6B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5.3如在使用过程中发生质量问题，乙方应按本项目“第三篇 项目商务需求”中的要求处理。</w:t>
      </w:r>
    </w:p>
    <w:p w14:paraId="371A77E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5.4在质保期内，乙方应对货物出现的质量及安全问题负责处理解决并承担一切费用。</w:t>
      </w:r>
    </w:p>
    <w:p w14:paraId="4E7FB6B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5.5 如甲方要求乙方提供履约保证金的，履约保证金的收取和退还应按本项目“第三篇 项目商务需求”中的要求处理。</w:t>
      </w:r>
    </w:p>
    <w:p w14:paraId="7D6A02C6">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6.付款</w:t>
      </w:r>
    </w:p>
    <w:p w14:paraId="7CCCF6B2">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6.1本合同使用货币币制如未作特别说明均为人民币。</w:t>
      </w:r>
    </w:p>
    <w:p w14:paraId="72EED4D8">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6.2付款方式：银行转账、现金支票。</w:t>
      </w:r>
    </w:p>
    <w:p w14:paraId="049CF500">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6.3付款方法：同本项目“第三篇 商务条款”中关于付款方式的约定。</w:t>
      </w:r>
    </w:p>
    <w:p w14:paraId="3220F4C0">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7.检查验收</w:t>
      </w:r>
    </w:p>
    <w:p w14:paraId="42802B74">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7.1供方应随货物提供合格证和质量证明文件，如是国外进口的货物还须提供入关证明。</w:t>
      </w:r>
    </w:p>
    <w:p w14:paraId="260AF72F">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7.2货物验收</w:t>
      </w:r>
    </w:p>
    <w:p w14:paraId="6A30672B">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供方所交货物的各种质量指标不得低于供方提供样品的质量指标（无样品时按供方的投标时提供的“技术文件”执行），售后服务质量要求按照招标文件和投标文件的内容执行。供方交货时，需方可根据需要随机抽取一部分货物送有关权威检测部门检测，如检测不合格，供方负责赔偿需方一切损失。</w:t>
      </w:r>
    </w:p>
    <w:p w14:paraId="50631A93">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7.3货物验收报告应由需方、供方经办人签字，并加盖双方公章，以此作为支付凭据。</w:t>
      </w:r>
    </w:p>
    <w:p w14:paraId="3A0B2994">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8.索赔</w:t>
      </w:r>
    </w:p>
    <w:p w14:paraId="5558565A">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供方对货物与合同要求不符负有责任，并且需方已于规定交货内和质量保证期内提出索赔，供方应按需方同意的下述一种或多种方法解决索赔事宜。</w:t>
      </w:r>
    </w:p>
    <w:p w14:paraId="6190E82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8.1供方同意需方拒收货物并把拒收货物的金额以合同规定的同类货币付给需方，供方负担发生的一切损失和费用，包括利息、运输和保险费、检验费、仓储和装卸费以及为保管和保护被拒绝货物所需要的其它必要费用。</w:t>
      </w:r>
    </w:p>
    <w:p w14:paraId="3BD203D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8.2根据货物的疵劣和受损程度以及需方遭受损失的金额，经双方同意降低货物价格。</w:t>
      </w:r>
    </w:p>
    <w:p w14:paraId="7274210F">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9.知识产权</w:t>
      </w:r>
    </w:p>
    <w:p w14:paraId="3B1360A7">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甲方在中华人民共和国境内使用乙方提供的货物及服务时免受第三方提出的侵犯其专利权或其它知识产权的起诉。如果第三方提出侵权指控，乙方应承担由此而引起的一切法律责任和费用。</w:t>
      </w:r>
    </w:p>
    <w:p w14:paraId="58C21CB4">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10.合同争议的解决</w:t>
      </w:r>
    </w:p>
    <w:p w14:paraId="14CBE706">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10.1当事人友好协商达成一致</w:t>
      </w:r>
    </w:p>
    <w:p w14:paraId="34A568E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10.2在60天内当事人协商不能达成协议的，可提请采购人当地仲裁机构仲裁。</w:t>
      </w:r>
    </w:p>
    <w:p w14:paraId="05F0C9AD">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11.违约责任</w:t>
      </w:r>
    </w:p>
    <w:p w14:paraId="16647D67">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按《中华人民共和国民法典》、《中华人民共和国政府采购法》有关条款，或由供需双方约定。</w:t>
      </w:r>
    </w:p>
    <w:p w14:paraId="3DDDF8D5">
      <w:pPr>
        <w:spacing w:line="400" w:lineRule="exact"/>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rPr>
        <w:t>12.合同生效及其它</w:t>
      </w:r>
    </w:p>
    <w:p w14:paraId="7C79261D">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12.1合同生效及其效力应符合《中华人民共和国民法典》有关规定。</w:t>
      </w:r>
    </w:p>
    <w:p w14:paraId="4C730A49">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12.2合同应经当事人法定代表人或委托代理人签字，加盖双方合同专用章或公章。</w:t>
      </w:r>
    </w:p>
    <w:p w14:paraId="7A17D06E">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12.3合同所包括附件，是合同不可分割的一部分，具有同等法法律效力。</w:t>
      </w:r>
    </w:p>
    <w:p w14:paraId="7F6F7EBF">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12.4本合同条件未尽事宜依照《中华人民共和国民法典》，由供需双方共同协商确定。</w:t>
      </w:r>
    </w:p>
    <w:p w14:paraId="35544D47">
      <w:pPr>
        <w:spacing w:line="400" w:lineRule="exact"/>
        <w:ind w:firstLine="480" w:firstLineChars="200"/>
        <w:rPr>
          <w:rFonts w:hint="eastAsia" w:ascii="宋体" w:hAnsi="宋体" w:eastAsia="宋体" w:cs="宋体"/>
          <w:color w:val="auto"/>
          <w:sz w:val="24"/>
        </w:rPr>
        <w:sectPr>
          <w:pgSz w:w="11907" w:h="16840"/>
          <w:pgMar w:top="1134" w:right="1191" w:bottom="1134" w:left="1304" w:header="964" w:footer="992" w:gutter="0"/>
          <w:pgNumType w:fmt="numberInDash"/>
          <w:cols w:space="720" w:num="1"/>
          <w:docGrid w:linePitch="312" w:charSpace="0"/>
        </w:sectPr>
      </w:pPr>
    </w:p>
    <w:p w14:paraId="073BC6AE">
      <w:pPr>
        <w:pStyle w:val="3"/>
        <w:spacing w:line="500" w:lineRule="exact"/>
        <w:ind w:firstLine="482" w:firstLineChars="200"/>
        <w:rPr>
          <w:rFonts w:hint="eastAsia" w:ascii="宋体" w:hAnsi="宋体" w:eastAsia="宋体" w:cs="宋体"/>
          <w:b/>
          <w:color w:val="auto"/>
          <w:sz w:val="24"/>
        </w:rPr>
      </w:pPr>
      <w:bookmarkStart w:id="754" w:name="_Toc285722713"/>
      <w:bookmarkStart w:id="755" w:name="_Toc10958"/>
      <w:bookmarkStart w:id="756" w:name="_Toc24031"/>
      <w:bookmarkStart w:id="757" w:name="_Toc6684"/>
      <w:bookmarkStart w:id="758" w:name="_Toc14172"/>
      <w:bookmarkStart w:id="759" w:name="_Toc75793538"/>
      <w:bookmarkStart w:id="760" w:name="_Toc532"/>
      <w:bookmarkStart w:id="761" w:name="_Toc4623"/>
      <w:bookmarkStart w:id="762" w:name="_Toc3208"/>
      <w:bookmarkStart w:id="763" w:name="_Toc10851"/>
      <w:bookmarkStart w:id="764" w:name="_Toc1900"/>
      <w:bookmarkStart w:id="765" w:name="_Toc11820"/>
      <w:bookmarkStart w:id="766" w:name="_Toc28716"/>
      <w:bookmarkStart w:id="767" w:name="_Toc277084871"/>
      <w:bookmarkStart w:id="768" w:name="_Toc6201"/>
      <w:bookmarkStart w:id="769" w:name="_Toc14438"/>
      <w:bookmarkStart w:id="770" w:name="_Toc11006"/>
      <w:bookmarkStart w:id="771" w:name="_Toc13103"/>
      <w:bookmarkStart w:id="772" w:name="_Toc25439"/>
      <w:r>
        <w:rPr>
          <w:rFonts w:hint="eastAsia" w:ascii="宋体" w:hAnsi="宋体" w:eastAsia="宋体" w:cs="宋体"/>
          <w:b/>
          <w:color w:val="auto"/>
          <w:sz w:val="24"/>
        </w:rPr>
        <w:t>二、政府采购合同（格式）</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7CE6F1E5">
      <w:pPr>
        <w:spacing w:line="500" w:lineRule="exact"/>
        <w:jc w:val="center"/>
        <w:outlineLvl w:val="1"/>
        <w:rPr>
          <w:rFonts w:hint="eastAsia" w:ascii="宋体" w:hAnsi="宋体" w:eastAsia="宋体" w:cs="宋体"/>
          <w:b/>
          <w:color w:val="auto"/>
          <w:sz w:val="44"/>
        </w:rPr>
      </w:pPr>
      <w:r>
        <w:rPr>
          <w:rFonts w:hint="eastAsia" w:ascii="宋体" w:hAnsi="宋体" w:eastAsia="宋体" w:cs="宋体"/>
          <w:b/>
          <w:color w:val="auto"/>
          <w:sz w:val="44"/>
        </w:rPr>
        <w:t>重庆市政府采购合同</w:t>
      </w:r>
    </w:p>
    <w:p w14:paraId="37A5EFB5">
      <w:pPr>
        <w:spacing w:line="500" w:lineRule="exact"/>
        <w:jc w:val="center"/>
        <w:outlineLvl w:val="1"/>
        <w:rPr>
          <w:rFonts w:hint="eastAsia" w:ascii="宋体" w:hAnsi="宋体" w:eastAsia="宋体" w:cs="宋体"/>
          <w:color w:val="auto"/>
        </w:rPr>
      </w:pPr>
      <w:r>
        <w:rPr>
          <w:rFonts w:hint="eastAsia" w:ascii="宋体" w:hAnsi="宋体" w:eastAsia="宋体" w:cs="宋体"/>
          <w:color w:val="auto"/>
        </w:rPr>
        <w:t>（项目号：     ）</w:t>
      </w:r>
    </w:p>
    <w:p w14:paraId="56D9F009">
      <w:pPr>
        <w:spacing w:line="500" w:lineRule="exact"/>
        <w:rPr>
          <w:rFonts w:hint="eastAsia" w:ascii="宋体" w:hAnsi="宋体" w:eastAsia="宋体" w:cs="宋体"/>
          <w:color w:val="auto"/>
          <w:sz w:val="24"/>
        </w:rPr>
      </w:pPr>
      <w:r>
        <w:rPr>
          <w:rFonts w:hint="eastAsia" w:ascii="宋体" w:hAnsi="宋体" w:eastAsia="宋体" w:cs="宋体"/>
          <w:color w:val="auto"/>
          <w:sz w:val="24"/>
        </w:rPr>
        <w:t>甲方（需方）：___________________________      计价单位：____________</w:t>
      </w:r>
    </w:p>
    <w:p w14:paraId="2ABA1268">
      <w:pPr>
        <w:spacing w:line="500" w:lineRule="exact"/>
        <w:rPr>
          <w:rFonts w:hint="eastAsia" w:ascii="宋体" w:hAnsi="宋体" w:eastAsia="宋体" w:cs="宋体"/>
          <w:color w:val="auto"/>
          <w:sz w:val="24"/>
        </w:rPr>
      </w:pPr>
      <w:r>
        <w:rPr>
          <w:rFonts w:hint="eastAsia" w:ascii="宋体" w:hAnsi="宋体" w:eastAsia="宋体" w:cs="宋体"/>
          <w:color w:val="auto"/>
          <w:sz w:val="24"/>
        </w:rPr>
        <w:t>乙方（供方）：___________________________      计量单位：_____________</w:t>
      </w:r>
    </w:p>
    <w:p w14:paraId="177DACA5">
      <w:pPr>
        <w:spacing w:line="500" w:lineRule="exact"/>
        <w:rPr>
          <w:rFonts w:hint="eastAsia" w:ascii="宋体" w:hAnsi="宋体" w:eastAsia="宋体" w:cs="宋体"/>
          <w:color w:val="auto"/>
          <w:sz w:val="24"/>
        </w:rPr>
      </w:pPr>
    </w:p>
    <w:p w14:paraId="54484330">
      <w:pPr>
        <w:spacing w:line="500" w:lineRule="exact"/>
        <w:rPr>
          <w:rFonts w:hint="eastAsia" w:ascii="宋体" w:hAnsi="宋体" w:eastAsia="宋体" w:cs="宋体"/>
          <w:color w:val="auto"/>
          <w:sz w:val="24"/>
        </w:rPr>
      </w:pPr>
      <w:r>
        <w:rPr>
          <w:rFonts w:hint="eastAsia" w:ascii="宋体" w:hAnsi="宋体" w:eastAsia="宋体" w:cs="宋体"/>
          <w:color w:val="auto"/>
          <w:sz w:val="24"/>
        </w:rPr>
        <w:t>经双方协商一致，达成以下购销合同：</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448"/>
        <w:gridCol w:w="850"/>
        <w:gridCol w:w="1134"/>
        <w:gridCol w:w="1559"/>
        <w:gridCol w:w="1567"/>
        <w:gridCol w:w="15"/>
      </w:tblGrid>
      <w:tr w14:paraId="497B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14:paraId="14BCD8B9">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商品名称</w:t>
            </w:r>
          </w:p>
        </w:tc>
        <w:tc>
          <w:tcPr>
            <w:tcW w:w="1741" w:type="dxa"/>
            <w:vAlign w:val="center"/>
          </w:tcPr>
          <w:p w14:paraId="20142FB1">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规格型号</w:t>
            </w:r>
          </w:p>
        </w:tc>
        <w:tc>
          <w:tcPr>
            <w:tcW w:w="984" w:type="dxa"/>
            <w:vAlign w:val="center"/>
          </w:tcPr>
          <w:p w14:paraId="549665F6">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1298" w:type="dxa"/>
            <w:gridSpan w:val="2"/>
            <w:vAlign w:val="center"/>
          </w:tcPr>
          <w:p w14:paraId="0E90243D">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综合单价</w:t>
            </w:r>
          </w:p>
        </w:tc>
        <w:tc>
          <w:tcPr>
            <w:tcW w:w="1134" w:type="dxa"/>
            <w:vAlign w:val="center"/>
          </w:tcPr>
          <w:p w14:paraId="19050939">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总价</w:t>
            </w:r>
          </w:p>
        </w:tc>
        <w:tc>
          <w:tcPr>
            <w:tcW w:w="1559" w:type="dxa"/>
            <w:vAlign w:val="center"/>
          </w:tcPr>
          <w:p w14:paraId="23323411">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交货时间</w:t>
            </w:r>
          </w:p>
        </w:tc>
        <w:tc>
          <w:tcPr>
            <w:tcW w:w="1567" w:type="dxa"/>
            <w:vAlign w:val="center"/>
          </w:tcPr>
          <w:p w14:paraId="5760DCD4">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交货地点</w:t>
            </w:r>
          </w:p>
        </w:tc>
      </w:tr>
      <w:tr w14:paraId="35102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196C7573">
            <w:pPr>
              <w:spacing w:line="240" w:lineRule="atLeast"/>
              <w:jc w:val="center"/>
              <w:rPr>
                <w:rFonts w:hint="eastAsia" w:ascii="宋体" w:hAnsi="宋体" w:eastAsia="宋体" w:cs="宋体"/>
                <w:color w:val="auto"/>
                <w:sz w:val="21"/>
                <w:szCs w:val="21"/>
              </w:rPr>
            </w:pPr>
          </w:p>
        </w:tc>
        <w:tc>
          <w:tcPr>
            <w:tcW w:w="1741" w:type="dxa"/>
            <w:vAlign w:val="center"/>
          </w:tcPr>
          <w:p w14:paraId="563210CF">
            <w:pPr>
              <w:spacing w:line="240" w:lineRule="atLeast"/>
              <w:jc w:val="center"/>
              <w:rPr>
                <w:rFonts w:hint="eastAsia" w:ascii="宋体" w:hAnsi="宋体" w:eastAsia="宋体" w:cs="宋体"/>
                <w:color w:val="auto"/>
                <w:sz w:val="21"/>
                <w:szCs w:val="21"/>
              </w:rPr>
            </w:pPr>
          </w:p>
        </w:tc>
        <w:tc>
          <w:tcPr>
            <w:tcW w:w="984" w:type="dxa"/>
            <w:vAlign w:val="center"/>
          </w:tcPr>
          <w:p w14:paraId="1BC71D8D">
            <w:pPr>
              <w:spacing w:line="240" w:lineRule="atLeast"/>
              <w:jc w:val="center"/>
              <w:rPr>
                <w:rFonts w:hint="eastAsia" w:ascii="宋体" w:hAnsi="宋体" w:eastAsia="宋体" w:cs="宋体"/>
                <w:color w:val="auto"/>
                <w:sz w:val="21"/>
                <w:szCs w:val="21"/>
              </w:rPr>
            </w:pPr>
          </w:p>
        </w:tc>
        <w:tc>
          <w:tcPr>
            <w:tcW w:w="1298" w:type="dxa"/>
            <w:gridSpan w:val="2"/>
            <w:vAlign w:val="center"/>
          </w:tcPr>
          <w:p w14:paraId="11BE1EBF">
            <w:pPr>
              <w:spacing w:line="240" w:lineRule="atLeast"/>
              <w:jc w:val="center"/>
              <w:rPr>
                <w:rFonts w:hint="eastAsia" w:ascii="宋体" w:hAnsi="宋体" w:eastAsia="宋体" w:cs="宋体"/>
                <w:color w:val="auto"/>
                <w:sz w:val="21"/>
                <w:szCs w:val="21"/>
              </w:rPr>
            </w:pPr>
          </w:p>
        </w:tc>
        <w:tc>
          <w:tcPr>
            <w:tcW w:w="1134" w:type="dxa"/>
            <w:vAlign w:val="center"/>
          </w:tcPr>
          <w:p w14:paraId="1C3B09F8">
            <w:pPr>
              <w:spacing w:line="240" w:lineRule="atLeast"/>
              <w:jc w:val="center"/>
              <w:rPr>
                <w:rFonts w:hint="eastAsia" w:ascii="宋体" w:hAnsi="宋体" w:eastAsia="宋体" w:cs="宋体"/>
                <w:color w:val="auto"/>
                <w:sz w:val="21"/>
                <w:szCs w:val="21"/>
              </w:rPr>
            </w:pPr>
          </w:p>
        </w:tc>
        <w:tc>
          <w:tcPr>
            <w:tcW w:w="1559" w:type="dxa"/>
            <w:vAlign w:val="center"/>
          </w:tcPr>
          <w:p w14:paraId="7D1006C1">
            <w:pPr>
              <w:spacing w:line="240" w:lineRule="atLeast"/>
              <w:jc w:val="center"/>
              <w:rPr>
                <w:rFonts w:hint="eastAsia" w:ascii="宋体" w:hAnsi="宋体" w:eastAsia="宋体" w:cs="宋体"/>
                <w:color w:val="auto"/>
                <w:sz w:val="21"/>
                <w:szCs w:val="21"/>
              </w:rPr>
            </w:pPr>
          </w:p>
        </w:tc>
        <w:tc>
          <w:tcPr>
            <w:tcW w:w="1567" w:type="dxa"/>
            <w:vAlign w:val="center"/>
          </w:tcPr>
          <w:p w14:paraId="79E0E5D1">
            <w:pPr>
              <w:spacing w:line="240" w:lineRule="atLeast"/>
              <w:jc w:val="center"/>
              <w:rPr>
                <w:rFonts w:hint="eastAsia" w:ascii="宋体" w:hAnsi="宋体" w:eastAsia="宋体" w:cs="宋体"/>
                <w:color w:val="auto"/>
                <w:sz w:val="21"/>
                <w:szCs w:val="21"/>
              </w:rPr>
            </w:pPr>
          </w:p>
        </w:tc>
      </w:tr>
      <w:tr w14:paraId="52BC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F8C5383">
            <w:pPr>
              <w:spacing w:line="240" w:lineRule="atLeast"/>
              <w:jc w:val="center"/>
              <w:rPr>
                <w:rFonts w:hint="eastAsia" w:ascii="宋体" w:hAnsi="宋体" w:eastAsia="宋体" w:cs="宋体"/>
                <w:color w:val="auto"/>
                <w:sz w:val="21"/>
                <w:szCs w:val="21"/>
              </w:rPr>
            </w:pPr>
          </w:p>
        </w:tc>
        <w:tc>
          <w:tcPr>
            <w:tcW w:w="1741" w:type="dxa"/>
            <w:vAlign w:val="center"/>
          </w:tcPr>
          <w:p w14:paraId="6D376404">
            <w:pPr>
              <w:spacing w:line="240" w:lineRule="atLeast"/>
              <w:jc w:val="center"/>
              <w:rPr>
                <w:rFonts w:hint="eastAsia" w:ascii="宋体" w:hAnsi="宋体" w:eastAsia="宋体" w:cs="宋体"/>
                <w:color w:val="auto"/>
                <w:sz w:val="21"/>
                <w:szCs w:val="21"/>
              </w:rPr>
            </w:pPr>
          </w:p>
        </w:tc>
        <w:tc>
          <w:tcPr>
            <w:tcW w:w="984" w:type="dxa"/>
            <w:vAlign w:val="center"/>
          </w:tcPr>
          <w:p w14:paraId="1617A9C8">
            <w:pPr>
              <w:spacing w:line="240" w:lineRule="atLeast"/>
              <w:jc w:val="center"/>
              <w:rPr>
                <w:rFonts w:hint="eastAsia" w:ascii="宋体" w:hAnsi="宋体" w:eastAsia="宋体" w:cs="宋体"/>
                <w:color w:val="auto"/>
                <w:sz w:val="21"/>
                <w:szCs w:val="21"/>
              </w:rPr>
            </w:pPr>
          </w:p>
        </w:tc>
        <w:tc>
          <w:tcPr>
            <w:tcW w:w="1298" w:type="dxa"/>
            <w:gridSpan w:val="2"/>
            <w:vAlign w:val="center"/>
          </w:tcPr>
          <w:p w14:paraId="33088FEB">
            <w:pPr>
              <w:spacing w:line="240" w:lineRule="atLeast"/>
              <w:jc w:val="center"/>
              <w:rPr>
                <w:rFonts w:hint="eastAsia" w:ascii="宋体" w:hAnsi="宋体" w:eastAsia="宋体" w:cs="宋体"/>
                <w:color w:val="auto"/>
                <w:sz w:val="21"/>
                <w:szCs w:val="21"/>
              </w:rPr>
            </w:pPr>
          </w:p>
        </w:tc>
        <w:tc>
          <w:tcPr>
            <w:tcW w:w="1134" w:type="dxa"/>
            <w:vAlign w:val="center"/>
          </w:tcPr>
          <w:p w14:paraId="087F3685">
            <w:pPr>
              <w:spacing w:line="240" w:lineRule="atLeast"/>
              <w:jc w:val="center"/>
              <w:rPr>
                <w:rFonts w:hint="eastAsia" w:ascii="宋体" w:hAnsi="宋体" w:eastAsia="宋体" w:cs="宋体"/>
                <w:color w:val="auto"/>
                <w:sz w:val="21"/>
                <w:szCs w:val="21"/>
              </w:rPr>
            </w:pPr>
          </w:p>
        </w:tc>
        <w:tc>
          <w:tcPr>
            <w:tcW w:w="1559" w:type="dxa"/>
            <w:vAlign w:val="center"/>
          </w:tcPr>
          <w:p w14:paraId="51B695A8">
            <w:pPr>
              <w:spacing w:line="240" w:lineRule="atLeast"/>
              <w:jc w:val="center"/>
              <w:rPr>
                <w:rFonts w:hint="eastAsia" w:ascii="宋体" w:hAnsi="宋体" w:eastAsia="宋体" w:cs="宋体"/>
                <w:color w:val="auto"/>
                <w:sz w:val="21"/>
                <w:szCs w:val="21"/>
              </w:rPr>
            </w:pPr>
          </w:p>
        </w:tc>
        <w:tc>
          <w:tcPr>
            <w:tcW w:w="1567" w:type="dxa"/>
            <w:vAlign w:val="center"/>
          </w:tcPr>
          <w:p w14:paraId="7F7686E6">
            <w:pPr>
              <w:spacing w:line="240" w:lineRule="atLeast"/>
              <w:jc w:val="center"/>
              <w:rPr>
                <w:rFonts w:hint="eastAsia" w:ascii="宋体" w:hAnsi="宋体" w:eastAsia="宋体" w:cs="宋体"/>
                <w:color w:val="auto"/>
                <w:sz w:val="21"/>
                <w:szCs w:val="21"/>
              </w:rPr>
            </w:pPr>
          </w:p>
        </w:tc>
      </w:tr>
      <w:tr w14:paraId="5364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CD77E68">
            <w:pPr>
              <w:spacing w:line="240" w:lineRule="atLeast"/>
              <w:jc w:val="center"/>
              <w:rPr>
                <w:rFonts w:hint="eastAsia" w:ascii="宋体" w:hAnsi="宋体" w:eastAsia="宋体" w:cs="宋体"/>
                <w:color w:val="auto"/>
                <w:sz w:val="21"/>
                <w:szCs w:val="21"/>
              </w:rPr>
            </w:pPr>
          </w:p>
        </w:tc>
        <w:tc>
          <w:tcPr>
            <w:tcW w:w="1741" w:type="dxa"/>
            <w:vAlign w:val="center"/>
          </w:tcPr>
          <w:p w14:paraId="3776E9F9">
            <w:pPr>
              <w:spacing w:line="240" w:lineRule="atLeast"/>
              <w:jc w:val="center"/>
              <w:rPr>
                <w:rFonts w:hint="eastAsia" w:ascii="宋体" w:hAnsi="宋体" w:eastAsia="宋体" w:cs="宋体"/>
                <w:color w:val="auto"/>
                <w:sz w:val="21"/>
                <w:szCs w:val="21"/>
              </w:rPr>
            </w:pPr>
          </w:p>
        </w:tc>
        <w:tc>
          <w:tcPr>
            <w:tcW w:w="984" w:type="dxa"/>
            <w:vAlign w:val="center"/>
          </w:tcPr>
          <w:p w14:paraId="4C3B20A7">
            <w:pPr>
              <w:spacing w:line="240" w:lineRule="atLeast"/>
              <w:jc w:val="center"/>
              <w:rPr>
                <w:rFonts w:hint="eastAsia" w:ascii="宋体" w:hAnsi="宋体" w:eastAsia="宋体" w:cs="宋体"/>
                <w:color w:val="auto"/>
                <w:sz w:val="21"/>
                <w:szCs w:val="21"/>
              </w:rPr>
            </w:pPr>
          </w:p>
        </w:tc>
        <w:tc>
          <w:tcPr>
            <w:tcW w:w="1298" w:type="dxa"/>
            <w:gridSpan w:val="2"/>
            <w:vAlign w:val="center"/>
          </w:tcPr>
          <w:p w14:paraId="0F40211B">
            <w:pPr>
              <w:spacing w:line="240" w:lineRule="atLeast"/>
              <w:jc w:val="center"/>
              <w:rPr>
                <w:rFonts w:hint="eastAsia" w:ascii="宋体" w:hAnsi="宋体" w:eastAsia="宋体" w:cs="宋体"/>
                <w:color w:val="auto"/>
                <w:sz w:val="21"/>
                <w:szCs w:val="21"/>
              </w:rPr>
            </w:pPr>
          </w:p>
        </w:tc>
        <w:tc>
          <w:tcPr>
            <w:tcW w:w="1134" w:type="dxa"/>
            <w:vAlign w:val="center"/>
          </w:tcPr>
          <w:p w14:paraId="605B58A0">
            <w:pPr>
              <w:spacing w:line="240" w:lineRule="atLeast"/>
              <w:jc w:val="center"/>
              <w:rPr>
                <w:rFonts w:hint="eastAsia" w:ascii="宋体" w:hAnsi="宋体" w:eastAsia="宋体" w:cs="宋体"/>
                <w:color w:val="auto"/>
                <w:sz w:val="21"/>
                <w:szCs w:val="21"/>
              </w:rPr>
            </w:pPr>
          </w:p>
        </w:tc>
        <w:tc>
          <w:tcPr>
            <w:tcW w:w="1559" w:type="dxa"/>
            <w:vAlign w:val="center"/>
          </w:tcPr>
          <w:p w14:paraId="7E655F33">
            <w:pPr>
              <w:spacing w:line="240" w:lineRule="atLeast"/>
              <w:jc w:val="center"/>
              <w:rPr>
                <w:rFonts w:hint="eastAsia" w:ascii="宋体" w:hAnsi="宋体" w:eastAsia="宋体" w:cs="宋体"/>
                <w:color w:val="auto"/>
                <w:sz w:val="21"/>
                <w:szCs w:val="21"/>
              </w:rPr>
            </w:pPr>
          </w:p>
        </w:tc>
        <w:tc>
          <w:tcPr>
            <w:tcW w:w="1567" w:type="dxa"/>
            <w:vAlign w:val="center"/>
          </w:tcPr>
          <w:p w14:paraId="75648198">
            <w:pPr>
              <w:spacing w:line="240" w:lineRule="atLeast"/>
              <w:jc w:val="center"/>
              <w:rPr>
                <w:rFonts w:hint="eastAsia" w:ascii="宋体" w:hAnsi="宋体" w:eastAsia="宋体" w:cs="宋体"/>
                <w:color w:val="auto"/>
                <w:sz w:val="21"/>
                <w:szCs w:val="21"/>
              </w:rPr>
            </w:pPr>
          </w:p>
        </w:tc>
      </w:tr>
      <w:tr w14:paraId="4F27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52CFD6A">
            <w:pPr>
              <w:spacing w:line="240" w:lineRule="atLeast"/>
              <w:jc w:val="center"/>
              <w:rPr>
                <w:rFonts w:hint="eastAsia" w:ascii="宋体" w:hAnsi="宋体" w:eastAsia="宋体" w:cs="宋体"/>
                <w:color w:val="auto"/>
                <w:sz w:val="21"/>
                <w:szCs w:val="21"/>
              </w:rPr>
            </w:pPr>
          </w:p>
        </w:tc>
        <w:tc>
          <w:tcPr>
            <w:tcW w:w="1741" w:type="dxa"/>
            <w:vAlign w:val="center"/>
          </w:tcPr>
          <w:p w14:paraId="316B9E87">
            <w:pPr>
              <w:spacing w:line="240" w:lineRule="atLeast"/>
              <w:jc w:val="center"/>
              <w:rPr>
                <w:rFonts w:hint="eastAsia" w:ascii="宋体" w:hAnsi="宋体" w:eastAsia="宋体" w:cs="宋体"/>
                <w:color w:val="auto"/>
                <w:sz w:val="21"/>
                <w:szCs w:val="21"/>
              </w:rPr>
            </w:pPr>
          </w:p>
        </w:tc>
        <w:tc>
          <w:tcPr>
            <w:tcW w:w="984" w:type="dxa"/>
            <w:vAlign w:val="center"/>
          </w:tcPr>
          <w:p w14:paraId="4ED92FEF">
            <w:pPr>
              <w:spacing w:line="240" w:lineRule="atLeast"/>
              <w:jc w:val="center"/>
              <w:rPr>
                <w:rFonts w:hint="eastAsia" w:ascii="宋体" w:hAnsi="宋体" w:eastAsia="宋体" w:cs="宋体"/>
                <w:color w:val="auto"/>
                <w:sz w:val="21"/>
                <w:szCs w:val="21"/>
              </w:rPr>
            </w:pPr>
          </w:p>
        </w:tc>
        <w:tc>
          <w:tcPr>
            <w:tcW w:w="1298" w:type="dxa"/>
            <w:gridSpan w:val="2"/>
            <w:vAlign w:val="center"/>
          </w:tcPr>
          <w:p w14:paraId="1A59A19F">
            <w:pPr>
              <w:spacing w:line="240" w:lineRule="atLeast"/>
              <w:jc w:val="center"/>
              <w:rPr>
                <w:rFonts w:hint="eastAsia" w:ascii="宋体" w:hAnsi="宋体" w:eastAsia="宋体" w:cs="宋体"/>
                <w:color w:val="auto"/>
                <w:sz w:val="21"/>
                <w:szCs w:val="21"/>
              </w:rPr>
            </w:pPr>
          </w:p>
        </w:tc>
        <w:tc>
          <w:tcPr>
            <w:tcW w:w="1134" w:type="dxa"/>
            <w:vAlign w:val="center"/>
          </w:tcPr>
          <w:p w14:paraId="78C9AEA6">
            <w:pPr>
              <w:spacing w:line="240" w:lineRule="atLeast"/>
              <w:jc w:val="center"/>
              <w:rPr>
                <w:rFonts w:hint="eastAsia" w:ascii="宋体" w:hAnsi="宋体" w:eastAsia="宋体" w:cs="宋体"/>
                <w:color w:val="auto"/>
                <w:sz w:val="21"/>
                <w:szCs w:val="21"/>
              </w:rPr>
            </w:pPr>
          </w:p>
        </w:tc>
        <w:tc>
          <w:tcPr>
            <w:tcW w:w="1559" w:type="dxa"/>
            <w:vAlign w:val="center"/>
          </w:tcPr>
          <w:p w14:paraId="3C78844C">
            <w:pPr>
              <w:spacing w:line="240" w:lineRule="atLeast"/>
              <w:jc w:val="center"/>
              <w:rPr>
                <w:rFonts w:hint="eastAsia" w:ascii="宋体" w:hAnsi="宋体" w:eastAsia="宋体" w:cs="宋体"/>
                <w:color w:val="auto"/>
                <w:sz w:val="21"/>
                <w:szCs w:val="21"/>
              </w:rPr>
            </w:pPr>
          </w:p>
        </w:tc>
        <w:tc>
          <w:tcPr>
            <w:tcW w:w="1567" w:type="dxa"/>
            <w:vAlign w:val="center"/>
          </w:tcPr>
          <w:p w14:paraId="3D40E42A">
            <w:pPr>
              <w:spacing w:line="240" w:lineRule="atLeast"/>
              <w:jc w:val="center"/>
              <w:rPr>
                <w:rFonts w:hint="eastAsia" w:ascii="宋体" w:hAnsi="宋体" w:eastAsia="宋体" w:cs="宋体"/>
                <w:color w:val="auto"/>
                <w:sz w:val="21"/>
                <w:szCs w:val="21"/>
              </w:rPr>
            </w:pPr>
          </w:p>
        </w:tc>
      </w:tr>
      <w:tr w14:paraId="25884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50781C25">
            <w:pPr>
              <w:spacing w:line="240" w:lineRule="atLeast"/>
              <w:jc w:val="center"/>
              <w:rPr>
                <w:rFonts w:hint="eastAsia" w:ascii="宋体" w:hAnsi="宋体" w:eastAsia="宋体" w:cs="宋体"/>
                <w:color w:val="auto"/>
                <w:sz w:val="21"/>
                <w:szCs w:val="21"/>
              </w:rPr>
            </w:pPr>
          </w:p>
        </w:tc>
        <w:tc>
          <w:tcPr>
            <w:tcW w:w="1741" w:type="dxa"/>
            <w:vAlign w:val="center"/>
          </w:tcPr>
          <w:p w14:paraId="098798CD">
            <w:pPr>
              <w:spacing w:line="240" w:lineRule="atLeast"/>
              <w:jc w:val="center"/>
              <w:rPr>
                <w:rFonts w:hint="eastAsia" w:ascii="宋体" w:hAnsi="宋体" w:eastAsia="宋体" w:cs="宋体"/>
                <w:color w:val="auto"/>
                <w:sz w:val="21"/>
                <w:szCs w:val="21"/>
              </w:rPr>
            </w:pPr>
          </w:p>
        </w:tc>
        <w:tc>
          <w:tcPr>
            <w:tcW w:w="984" w:type="dxa"/>
            <w:vAlign w:val="center"/>
          </w:tcPr>
          <w:p w14:paraId="4A1E7423">
            <w:pPr>
              <w:spacing w:line="240" w:lineRule="atLeast"/>
              <w:jc w:val="center"/>
              <w:rPr>
                <w:rFonts w:hint="eastAsia" w:ascii="宋体" w:hAnsi="宋体" w:eastAsia="宋体" w:cs="宋体"/>
                <w:color w:val="auto"/>
                <w:sz w:val="21"/>
                <w:szCs w:val="21"/>
              </w:rPr>
            </w:pPr>
          </w:p>
        </w:tc>
        <w:tc>
          <w:tcPr>
            <w:tcW w:w="1298" w:type="dxa"/>
            <w:gridSpan w:val="2"/>
            <w:vAlign w:val="center"/>
          </w:tcPr>
          <w:p w14:paraId="3F10E496">
            <w:pPr>
              <w:spacing w:line="240" w:lineRule="atLeast"/>
              <w:jc w:val="center"/>
              <w:rPr>
                <w:rFonts w:hint="eastAsia" w:ascii="宋体" w:hAnsi="宋体" w:eastAsia="宋体" w:cs="宋体"/>
                <w:color w:val="auto"/>
                <w:sz w:val="21"/>
                <w:szCs w:val="21"/>
              </w:rPr>
            </w:pPr>
          </w:p>
        </w:tc>
        <w:tc>
          <w:tcPr>
            <w:tcW w:w="1134" w:type="dxa"/>
            <w:vAlign w:val="center"/>
          </w:tcPr>
          <w:p w14:paraId="49AC12CE">
            <w:pPr>
              <w:spacing w:line="240" w:lineRule="atLeast"/>
              <w:jc w:val="center"/>
              <w:rPr>
                <w:rFonts w:hint="eastAsia" w:ascii="宋体" w:hAnsi="宋体" w:eastAsia="宋体" w:cs="宋体"/>
                <w:color w:val="auto"/>
                <w:sz w:val="21"/>
                <w:szCs w:val="21"/>
              </w:rPr>
            </w:pPr>
          </w:p>
        </w:tc>
        <w:tc>
          <w:tcPr>
            <w:tcW w:w="1559" w:type="dxa"/>
            <w:vAlign w:val="center"/>
          </w:tcPr>
          <w:p w14:paraId="0E89F51B">
            <w:pPr>
              <w:spacing w:line="240" w:lineRule="atLeast"/>
              <w:jc w:val="center"/>
              <w:rPr>
                <w:rFonts w:hint="eastAsia" w:ascii="宋体" w:hAnsi="宋体" w:eastAsia="宋体" w:cs="宋体"/>
                <w:color w:val="auto"/>
                <w:sz w:val="21"/>
                <w:szCs w:val="21"/>
              </w:rPr>
            </w:pPr>
          </w:p>
        </w:tc>
        <w:tc>
          <w:tcPr>
            <w:tcW w:w="1567" w:type="dxa"/>
            <w:vAlign w:val="center"/>
          </w:tcPr>
          <w:p w14:paraId="40FC2910">
            <w:pPr>
              <w:spacing w:line="240" w:lineRule="atLeast"/>
              <w:jc w:val="center"/>
              <w:rPr>
                <w:rFonts w:hint="eastAsia" w:ascii="宋体" w:hAnsi="宋体" w:eastAsia="宋体" w:cs="宋体"/>
                <w:color w:val="auto"/>
                <w:sz w:val="21"/>
                <w:szCs w:val="21"/>
              </w:rPr>
            </w:pPr>
          </w:p>
        </w:tc>
      </w:tr>
      <w:tr w14:paraId="5D97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1163BDBB">
            <w:pPr>
              <w:spacing w:line="240" w:lineRule="atLeast"/>
              <w:jc w:val="center"/>
              <w:rPr>
                <w:rFonts w:hint="eastAsia" w:ascii="宋体" w:hAnsi="宋体" w:eastAsia="宋体" w:cs="宋体"/>
                <w:color w:val="auto"/>
                <w:sz w:val="21"/>
                <w:szCs w:val="21"/>
              </w:rPr>
            </w:pPr>
          </w:p>
        </w:tc>
        <w:tc>
          <w:tcPr>
            <w:tcW w:w="1741" w:type="dxa"/>
            <w:vAlign w:val="center"/>
          </w:tcPr>
          <w:p w14:paraId="24E8E2AE">
            <w:pPr>
              <w:spacing w:line="240" w:lineRule="atLeast"/>
              <w:jc w:val="center"/>
              <w:rPr>
                <w:rFonts w:hint="eastAsia" w:ascii="宋体" w:hAnsi="宋体" w:eastAsia="宋体" w:cs="宋体"/>
                <w:color w:val="auto"/>
                <w:sz w:val="21"/>
                <w:szCs w:val="21"/>
              </w:rPr>
            </w:pPr>
          </w:p>
        </w:tc>
        <w:tc>
          <w:tcPr>
            <w:tcW w:w="984" w:type="dxa"/>
            <w:vAlign w:val="center"/>
          </w:tcPr>
          <w:p w14:paraId="28187891">
            <w:pPr>
              <w:spacing w:line="240" w:lineRule="atLeast"/>
              <w:jc w:val="center"/>
              <w:rPr>
                <w:rFonts w:hint="eastAsia" w:ascii="宋体" w:hAnsi="宋体" w:eastAsia="宋体" w:cs="宋体"/>
                <w:color w:val="auto"/>
                <w:sz w:val="21"/>
                <w:szCs w:val="21"/>
              </w:rPr>
            </w:pPr>
          </w:p>
        </w:tc>
        <w:tc>
          <w:tcPr>
            <w:tcW w:w="1298" w:type="dxa"/>
            <w:gridSpan w:val="2"/>
            <w:vAlign w:val="center"/>
          </w:tcPr>
          <w:p w14:paraId="6177D62F">
            <w:pPr>
              <w:spacing w:line="240" w:lineRule="atLeast"/>
              <w:jc w:val="center"/>
              <w:rPr>
                <w:rFonts w:hint="eastAsia" w:ascii="宋体" w:hAnsi="宋体" w:eastAsia="宋体" w:cs="宋体"/>
                <w:color w:val="auto"/>
                <w:sz w:val="21"/>
                <w:szCs w:val="21"/>
              </w:rPr>
            </w:pPr>
          </w:p>
        </w:tc>
        <w:tc>
          <w:tcPr>
            <w:tcW w:w="1134" w:type="dxa"/>
            <w:vAlign w:val="center"/>
          </w:tcPr>
          <w:p w14:paraId="21DF507C">
            <w:pPr>
              <w:spacing w:line="240" w:lineRule="atLeast"/>
              <w:jc w:val="center"/>
              <w:rPr>
                <w:rFonts w:hint="eastAsia" w:ascii="宋体" w:hAnsi="宋体" w:eastAsia="宋体" w:cs="宋体"/>
                <w:color w:val="auto"/>
                <w:sz w:val="21"/>
                <w:szCs w:val="21"/>
              </w:rPr>
            </w:pPr>
          </w:p>
        </w:tc>
        <w:tc>
          <w:tcPr>
            <w:tcW w:w="1559" w:type="dxa"/>
            <w:vAlign w:val="center"/>
          </w:tcPr>
          <w:p w14:paraId="07F415F4">
            <w:pPr>
              <w:spacing w:line="240" w:lineRule="atLeast"/>
              <w:jc w:val="center"/>
              <w:rPr>
                <w:rFonts w:hint="eastAsia" w:ascii="宋体" w:hAnsi="宋体" w:eastAsia="宋体" w:cs="宋体"/>
                <w:color w:val="auto"/>
                <w:sz w:val="21"/>
                <w:szCs w:val="21"/>
              </w:rPr>
            </w:pPr>
          </w:p>
        </w:tc>
        <w:tc>
          <w:tcPr>
            <w:tcW w:w="1567" w:type="dxa"/>
            <w:vAlign w:val="center"/>
          </w:tcPr>
          <w:p w14:paraId="131A2DDF">
            <w:pPr>
              <w:spacing w:line="240" w:lineRule="atLeast"/>
              <w:jc w:val="center"/>
              <w:rPr>
                <w:rFonts w:hint="eastAsia" w:ascii="宋体" w:hAnsi="宋体" w:eastAsia="宋体" w:cs="宋体"/>
                <w:color w:val="auto"/>
                <w:sz w:val="21"/>
                <w:szCs w:val="21"/>
              </w:rPr>
            </w:pPr>
          </w:p>
        </w:tc>
      </w:tr>
      <w:tr w14:paraId="5649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3EC3CF50">
            <w:pPr>
              <w:spacing w:line="240" w:lineRule="atLeast"/>
              <w:jc w:val="center"/>
              <w:rPr>
                <w:rFonts w:hint="eastAsia" w:ascii="宋体" w:hAnsi="宋体" w:eastAsia="宋体" w:cs="宋体"/>
                <w:color w:val="auto"/>
                <w:sz w:val="21"/>
                <w:szCs w:val="21"/>
              </w:rPr>
            </w:pPr>
          </w:p>
        </w:tc>
        <w:tc>
          <w:tcPr>
            <w:tcW w:w="1741" w:type="dxa"/>
            <w:vAlign w:val="center"/>
          </w:tcPr>
          <w:p w14:paraId="5167BD76">
            <w:pPr>
              <w:spacing w:line="240" w:lineRule="atLeast"/>
              <w:jc w:val="center"/>
              <w:rPr>
                <w:rFonts w:hint="eastAsia" w:ascii="宋体" w:hAnsi="宋体" w:eastAsia="宋体" w:cs="宋体"/>
                <w:color w:val="auto"/>
                <w:sz w:val="21"/>
                <w:szCs w:val="21"/>
              </w:rPr>
            </w:pPr>
          </w:p>
        </w:tc>
        <w:tc>
          <w:tcPr>
            <w:tcW w:w="984" w:type="dxa"/>
            <w:vAlign w:val="center"/>
          </w:tcPr>
          <w:p w14:paraId="760C1277">
            <w:pPr>
              <w:spacing w:line="240" w:lineRule="atLeast"/>
              <w:jc w:val="center"/>
              <w:rPr>
                <w:rFonts w:hint="eastAsia" w:ascii="宋体" w:hAnsi="宋体" w:eastAsia="宋体" w:cs="宋体"/>
                <w:color w:val="auto"/>
                <w:sz w:val="21"/>
                <w:szCs w:val="21"/>
              </w:rPr>
            </w:pPr>
          </w:p>
        </w:tc>
        <w:tc>
          <w:tcPr>
            <w:tcW w:w="1298" w:type="dxa"/>
            <w:gridSpan w:val="2"/>
            <w:vAlign w:val="center"/>
          </w:tcPr>
          <w:p w14:paraId="1E19EA74">
            <w:pPr>
              <w:spacing w:line="240" w:lineRule="atLeast"/>
              <w:jc w:val="center"/>
              <w:rPr>
                <w:rFonts w:hint="eastAsia" w:ascii="宋体" w:hAnsi="宋体" w:eastAsia="宋体" w:cs="宋体"/>
                <w:color w:val="auto"/>
                <w:sz w:val="21"/>
                <w:szCs w:val="21"/>
              </w:rPr>
            </w:pPr>
          </w:p>
        </w:tc>
        <w:tc>
          <w:tcPr>
            <w:tcW w:w="1134" w:type="dxa"/>
            <w:vAlign w:val="center"/>
          </w:tcPr>
          <w:p w14:paraId="46395A2C">
            <w:pPr>
              <w:spacing w:line="240" w:lineRule="atLeast"/>
              <w:jc w:val="center"/>
              <w:rPr>
                <w:rFonts w:hint="eastAsia" w:ascii="宋体" w:hAnsi="宋体" w:eastAsia="宋体" w:cs="宋体"/>
                <w:color w:val="auto"/>
                <w:sz w:val="21"/>
                <w:szCs w:val="21"/>
              </w:rPr>
            </w:pPr>
          </w:p>
        </w:tc>
        <w:tc>
          <w:tcPr>
            <w:tcW w:w="1559" w:type="dxa"/>
            <w:vAlign w:val="center"/>
          </w:tcPr>
          <w:p w14:paraId="7A34BE21">
            <w:pPr>
              <w:spacing w:line="240" w:lineRule="atLeast"/>
              <w:jc w:val="center"/>
              <w:rPr>
                <w:rFonts w:hint="eastAsia" w:ascii="宋体" w:hAnsi="宋体" w:eastAsia="宋体" w:cs="宋体"/>
                <w:color w:val="auto"/>
                <w:sz w:val="21"/>
                <w:szCs w:val="21"/>
              </w:rPr>
            </w:pPr>
          </w:p>
        </w:tc>
        <w:tc>
          <w:tcPr>
            <w:tcW w:w="1567" w:type="dxa"/>
            <w:vAlign w:val="center"/>
          </w:tcPr>
          <w:p w14:paraId="5A8751A3">
            <w:pPr>
              <w:spacing w:line="240" w:lineRule="atLeast"/>
              <w:jc w:val="center"/>
              <w:rPr>
                <w:rFonts w:hint="eastAsia" w:ascii="宋体" w:hAnsi="宋体" w:eastAsia="宋体" w:cs="宋体"/>
                <w:color w:val="auto"/>
                <w:sz w:val="21"/>
                <w:szCs w:val="21"/>
              </w:rPr>
            </w:pPr>
          </w:p>
        </w:tc>
      </w:tr>
      <w:tr w14:paraId="040D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799A524">
            <w:pPr>
              <w:spacing w:line="240" w:lineRule="atLeast"/>
              <w:jc w:val="center"/>
              <w:rPr>
                <w:rFonts w:hint="eastAsia" w:ascii="宋体" w:hAnsi="宋体" w:eastAsia="宋体" w:cs="宋体"/>
                <w:color w:val="auto"/>
                <w:sz w:val="21"/>
                <w:szCs w:val="21"/>
              </w:rPr>
            </w:pPr>
          </w:p>
        </w:tc>
        <w:tc>
          <w:tcPr>
            <w:tcW w:w="1741" w:type="dxa"/>
            <w:vAlign w:val="center"/>
          </w:tcPr>
          <w:p w14:paraId="60C66947">
            <w:pPr>
              <w:spacing w:line="240" w:lineRule="atLeast"/>
              <w:jc w:val="center"/>
              <w:rPr>
                <w:rFonts w:hint="eastAsia" w:ascii="宋体" w:hAnsi="宋体" w:eastAsia="宋体" w:cs="宋体"/>
                <w:color w:val="auto"/>
                <w:sz w:val="21"/>
                <w:szCs w:val="21"/>
              </w:rPr>
            </w:pPr>
          </w:p>
        </w:tc>
        <w:tc>
          <w:tcPr>
            <w:tcW w:w="984" w:type="dxa"/>
            <w:vAlign w:val="center"/>
          </w:tcPr>
          <w:p w14:paraId="7A298969">
            <w:pPr>
              <w:spacing w:line="240" w:lineRule="atLeast"/>
              <w:jc w:val="center"/>
              <w:rPr>
                <w:rFonts w:hint="eastAsia" w:ascii="宋体" w:hAnsi="宋体" w:eastAsia="宋体" w:cs="宋体"/>
                <w:color w:val="auto"/>
                <w:sz w:val="21"/>
                <w:szCs w:val="21"/>
              </w:rPr>
            </w:pPr>
          </w:p>
        </w:tc>
        <w:tc>
          <w:tcPr>
            <w:tcW w:w="1298" w:type="dxa"/>
            <w:gridSpan w:val="2"/>
            <w:vAlign w:val="center"/>
          </w:tcPr>
          <w:p w14:paraId="6B2595C9">
            <w:pPr>
              <w:spacing w:line="240" w:lineRule="atLeast"/>
              <w:jc w:val="center"/>
              <w:rPr>
                <w:rFonts w:hint="eastAsia" w:ascii="宋体" w:hAnsi="宋体" w:eastAsia="宋体" w:cs="宋体"/>
                <w:color w:val="auto"/>
                <w:sz w:val="21"/>
                <w:szCs w:val="21"/>
              </w:rPr>
            </w:pPr>
          </w:p>
        </w:tc>
        <w:tc>
          <w:tcPr>
            <w:tcW w:w="1134" w:type="dxa"/>
            <w:vAlign w:val="center"/>
          </w:tcPr>
          <w:p w14:paraId="3CBFE9DB">
            <w:pPr>
              <w:spacing w:line="240" w:lineRule="atLeast"/>
              <w:jc w:val="center"/>
              <w:rPr>
                <w:rFonts w:hint="eastAsia" w:ascii="宋体" w:hAnsi="宋体" w:eastAsia="宋体" w:cs="宋体"/>
                <w:color w:val="auto"/>
                <w:sz w:val="21"/>
                <w:szCs w:val="21"/>
              </w:rPr>
            </w:pPr>
          </w:p>
        </w:tc>
        <w:tc>
          <w:tcPr>
            <w:tcW w:w="1559" w:type="dxa"/>
            <w:vAlign w:val="center"/>
          </w:tcPr>
          <w:p w14:paraId="21184B77">
            <w:pPr>
              <w:spacing w:line="240" w:lineRule="atLeast"/>
              <w:jc w:val="center"/>
              <w:rPr>
                <w:rFonts w:hint="eastAsia" w:ascii="宋体" w:hAnsi="宋体" w:eastAsia="宋体" w:cs="宋体"/>
                <w:color w:val="auto"/>
                <w:sz w:val="21"/>
                <w:szCs w:val="21"/>
              </w:rPr>
            </w:pPr>
          </w:p>
        </w:tc>
        <w:tc>
          <w:tcPr>
            <w:tcW w:w="1567" w:type="dxa"/>
            <w:vAlign w:val="center"/>
          </w:tcPr>
          <w:p w14:paraId="4A194F80">
            <w:pPr>
              <w:spacing w:line="240" w:lineRule="atLeast"/>
              <w:jc w:val="center"/>
              <w:rPr>
                <w:rFonts w:hint="eastAsia" w:ascii="宋体" w:hAnsi="宋体" w:eastAsia="宋体" w:cs="宋体"/>
                <w:color w:val="auto"/>
                <w:sz w:val="21"/>
                <w:szCs w:val="21"/>
              </w:rPr>
            </w:pPr>
          </w:p>
        </w:tc>
      </w:tr>
      <w:tr w14:paraId="09B13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08E9E54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合计人民币（小写）：</w:t>
            </w:r>
          </w:p>
        </w:tc>
      </w:tr>
      <w:tr w14:paraId="40B3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7E3C2875">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合计人民币（大写）：</w:t>
            </w:r>
          </w:p>
        </w:tc>
      </w:tr>
      <w:tr w14:paraId="1964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14:paraId="370C57C0">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一、质量要求和技术标准。供方提供的商品必须是全新的，完全符合国家有关技术标准，供方的质量保证及售后服务承诺如下：</w:t>
            </w:r>
          </w:p>
          <w:p w14:paraId="1D412A79">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1、质保期限：</w:t>
            </w:r>
          </w:p>
          <w:p w14:paraId="727772D4">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2、保修范围：</w:t>
            </w:r>
          </w:p>
          <w:p w14:paraId="7AC41A04">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3、服务措施：</w:t>
            </w:r>
          </w:p>
          <w:p w14:paraId="7A606AF3">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4、质保期后服务：</w:t>
            </w:r>
          </w:p>
        </w:tc>
      </w:tr>
      <w:tr w14:paraId="5FC1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14:paraId="4590F3DF">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二、随机备品、附件、工具数量及供应方法：</w:t>
            </w:r>
          </w:p>
        </w:tc>
      </w:tr>
      <w:tr w14:paraId="242D4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14:paraId="19B96E2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三、交提货方式：</w:t>
            </w:r>
          </w:p>
        </w:tc>
      </w:tr>
      <w:tr w14:paraId="35FCC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14:paraId="4EBEE4E8">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四、验收标准、方法：</w:t>
            </w:r>
          </w:p>
          <w:p w14:paraId="19442C93">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如有异议，请于      日内提出。</w:t>
            </w:r>
          </w:p>
        </w:tc>
      </w:tr>
      <w:tr w14:paraId="021D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05D024F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五、付款方式：</w:t>
            </w:r>
          </w:p>
          <w:p w14:paraId="2D831D6A">
            <w:pPr>
              <w:pStyle w:val="34"/>
              <w:spacing w:line="240" w:lineRule="atLeast"/>
              <w:rPr>
                <w:rFonts w:hint="eastAsia" w:ascii="宋体" w:hAnsi="宋体" w:eastAsia="宋体" w:cs="宋体"/>
                <w:color w:val="auto"/>
                <w:sz w:val="21"/>
                <w:szCs w:val="21"/>
              </w:rPr>
            </w:pPr>
          </w:p>
        </w:tc>
      </w:tr>
      <w:tr w14:paraId="7407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667D12F7">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六、违约责任：</w:t>
            </w:r>
          </w:p>
          <w:p w14:paraId="2DF28E76">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按《中华人民共和国民法典》、《中华人民共和国政府采购法》执行，或按双方约定。（采购人应按项目实际情况完整填写）</w:t>
            </w:r>
          </w:p>
        </w:tc>
      </w:tr>
      <w:tr w14:paraId="292C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14:paraId="5AE828CA">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七、其他约定事项：</w:t>
            </w:r>
          </w:p>
          <w:p w14:paraId="7D81642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1.招标文件及其澄清文件、投标文件和承诺是本合同不可分割的部分。</w:t>
            </w:r>
          </w:p>
          <w:p w14:paraId="06DA0C4F">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2.本合同如发生争议由双方协商解决，协商不成向需方所在地</w:t>
            </w:r>
            <w:r>
              <w:rPr>
                <w:rFonts w:hint="eastAsia" w:ascii="宋体" w:hAnsi="宋体" w:cs="宋体"/>
                <w:color w:val="auto"/>
                <w:sz w:val="21"/>
                <w:szCs w:val="21"/>
                <w:lang w:val="en-US" w:eastAsia="zh-CN"/>
              </w:rPr>
              <w:t>人民法院</w:t>
            </w:r>
            <w:r>
              <w:rPr>
                <w:rFonts w:hint="eastAsia" w:ascii="宋体" w:hAnsi="宋体" w:eastAsia="宋体" w:cs="宋体"/>
                <w:color w:val="auto"/>
                <w:sz w:val="21"/>
                <w:szCs w:val="21"/>
              </w:rPr>
              <w:t>提请</w:t>
            </w:r>
            <w:r>
              <w:rPr>
                <w:rFonts w:hint="eastAsia" w:ascii="宋体" w:hAnsi="宋体" w:cs="宋体"/>
                <w:color w:val="auto"/>
                <w:sz w:val="21"/>
                <w:szCs w:val="21"/>
                <w:lang w:val="en-US" w:eastAsia="zh-CN"/>
              </w:rPr>
              <w:t>诉讼</w:t>
            </w:r>
            <w:r>
              <w:rPr>
                <w:rFonts w:hint="eastAsia" w:ascii="宋体" w:hAnsi="宋体" w:eastAsia="宋体" w:cs="宋体"/>
                <w:color w:val="auto"/>
                <w:sz w:val="21"/>
                <w:szCs w:val="21"/>
              </w:rPr>
              <w:t>。</w:t>
            </w:r>
          </w:p>
          <w:p w14:paraId="2D7EF5A0">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3.本合同一式__份， 需方__份，供方__份，具备同等法律效力。</w:t>
            </w:r>
          </w:p>
          <w:p w14:paraId="68042796">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4.其他：</w:t>
            </w:r>
          </w:p>
        </w:tc>
      </w:tr>
      <w:tr w14:paraId="2D70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trPr>
        <w:tc>
          <w:tcPr>
            <w:tcW w:w="4503" w:type="dxa"/>
            <w:gridSpan w:val="4"/>
          </w:tcPr>
          <w:p w14:paraId="6AEE086A">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需方：</w:t>
            </w:r>
          </w:p>
          <w:p w14:paraId="082601BF">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地址：</w:t>
            </w:r>
          </w:p>
          <w:p w14:paraId="79F4FA99">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联系电话：</w:t>
            </w:r>
          </w:p>
          <w:p w14:paraId="595E699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授权代表：</w:t>
            </w:r>
          </w:p>
        </w:tc>
        <w:tc>
          <w:tcPr>
            <w:tcW w:w="5125" w:type="dxa"/>
            <w:gridSpan w:val="5"/>
          </w:tcPr>
          <w:p w14:paraId="7A427DB2">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供方：</w:t>
            </w:r>
          </w:p>
          <w:p w14:paraId="53C4BA39">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地址：</w:t>
            </w:r>
          </w:p>
          <w:p w14:paraId="7FD41E11">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电话：</w:t>
            </w:r>
          </w:p>
          <w:p w14:paraId="7D5EA155">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传真：</w:t>
            </w:r>
          </w:p>
          <w:p w14:paraId="2097BCFB">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开户银行：</w:t>
            </w:r>
          </w:p>
          <w:p w14:paraId="5BBFF060">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账号：</w:t>
            </w:r>
          </w:p>
          <w:p w14:paraId="20806F67">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授权代表：</w:t>
            </w:r>
          </w:p>
          <w:p w14:paraId="731FB1D9">
            <w:pPr>
              <w:widowControl/>
              <w:spacing w:line="240" w:lineRule="atLeast"/>
              <w:jc w:val="left"/>
              <w:rPr>
                <w:rFonts w:hint="eastAsia" w:ascii="宋体" w:hAnsi="宋体" w:eastAsia="宋体" w:cs="宋体"/>
                <w:color w:val="auto"/>
                <w:sz w:val="21"/>
                <w:szCs w:val="21"/>
              </w:rPr>
            </w:pPr>
            <w:r>
              <w:rPr>
                <w:rFonts w:hint="eastAsia" w:ascii="宋体" w:hAnsi="宋体" w:eastAsia="宋体" w:cs="宋体"/>
                <w:color w:val="auto"/>
                <w:sz w:val="21"/>
                <w:szCs w:val="21"/>
              </w:rPr>
              <w:t>（本栏请用计算机打印以便于准确付款）</w:t>
            </w:r>
          </w:p>
        </w:tc>
      </w:tr>
      <w:tr w14:paraId="2B29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9"/>
          </w:tcPr>
          <w:p w14:paraId="102B91CD">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17508546">
            <w:pPr>
              <w:spacing w:line="240" w:lineRule="atLeast"/>
              <w:rPr>
                <w:rFonts w:hint="eastAsia" w:ascii="宋体" w:hAnsi="宋体" w:eastAsia="宋体" w:cs="宋体"/>
                <w:color w:val="auto"/>
                <w:sz w:val="21"/>
                <w:szCs w:val="21"/>
              </w:rPr>
            </w:pPr>
          </w:p>
          <w:p w14:paraId="021E82D1">
            <w:pPr>
              <w:spacing w:line="240" w:lineRule="atLeast"/>
              <w:rPr>
                <w:rFonts w:hint="eastAsia" w:ascii="宋体" w:hAnsi="宋体" w:eastAsia="宋体" w:cs="宋体"/>
                <w:color w:val="auto"/>
                <w:sz w:val="21"/>
                <w:szCs w:val="21"/>
              </w:rPr>
            </w:pPr>
          </w:p>
        </w:tc>
      </w:tr>
    </w:tbl>
    <w:p w14:paraId="492D882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签约时间：           年   月   日      签约地点：</w:t>
      </w:r>
    </w:p>
    <w:p w14:paraId="2ED707B5">
      <w:pPr>
        <w:spacing w:line="500" w:lineRule="exact"/>
        <w:ind w:firstLine="480" w:firstLineChars="200"/>
        <w:rPr>
          <w:rFonts w:hint="eastAsia" w:ascii="宋体" w:hAnsi="宋体" w:eastAsia="宋体" w:cs="宋体"/>
          <w:color w:val="auto"/>
          <w:sz w:val="24"/>
        </w:rPr>
      </w:pPr>
    </w:p>
    <w:p w14:paraId="04EC7D07">
      <w:pPr>
        <w:pStyle w:val="2"/>
        <w:spacing w:before="0" w:after="0" w:line="360" w:lineRule="auto"/>
        <w:rPr>
          <w:rFonts w:hint="eastAsia" w:ascii="宋体" w:hAnsi="宋体" w:eastAsia="宋体" w:cs="宋体"/>
          <w:b/>
          <w:color w:val="auto"/>
        </w:rPr>
      </w:pPr>
      <w:r>
        <w:rPr>
          <w:rFonts w:hint="eastAsia" w:ascii="宋体" w:hAnsi="宋体" w:eastAsia="宋体" w:cs="宋体"/>
          <w:color w:val="auto"/>
          <w:sz w:val="24"/>
        </w:rPr>
        <w:br w:type="page"/>
      </w:r>
      <w:bookmarkStart w:id="773" w:name="_Toc19519"/>
      <w:bookmarkStart w:id="774" w:name="_Toc14325"/>
      <w:bookmarkStart w:id="775" w:name="_Toc16203"/>
      <w:bookmarkStart w:id="776" w:name="_Toc19728"/>
      <w:bookmarkStart w:id="777" w:name="_Toc8114"/>
      <w:bookmarkStart w:id="778" w:name="_Toc6992"/>
      <w:bookmarkStart w:id="779" w:name="_Toc9843"/>
      <w:bookmarkStart w:id="780" w:name="_Toc12202"/>
      <w:bookmarkStart w:id="781" w:name="_Toc22748"/>
      <w:bookmarkStart w:id="782" w:name="_Toc14019"/>
      <w:bookmarkStart w:id="783" w:name="_Toc8818"/>
      <w:bookmarkStart w:id="784" w:name="_Toc12863"/>
      <w:bookmarkStart w:id="785" w:name="_Toc75793539"/>
      <w:bookmarkStart w:id="786" w:name="_Toc31517"/>
      <w:bookmarkStart w:id="787" w:name="_Toc8132"/>
      <w:bookmarkStart w:id="788" w:name="_Toc25727"/>
      <w:bookmarkStart w:id="789" w:name="_Toc12300"/>
      <w:r>
        <w:rPr>
          <w:rFonts w:hint="eastAsia" w:ascii="宋体" w:hAnsi="宋体" w:eastAsia="宋体" w:cs="宋体"/>
          <w:b/>
          <w:color w:val="auto"/>
        </w:rPr>
        <w:t>第七篇  投标文件格式</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14:paraId="7C579079">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一、经济文件</w:t>
      </w:r>
    </w:p>
    <w:p w14:paraId="38E5384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（一）开标一览表</w:t>
      </w:r>
    </w:p>
    <w:p w14:paraId="7B49D04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（二）分项报价明细表</w:t>
      </w:r>
    </w:p>
    <w:p w14:paraId="2FDCE06E">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二、技术（质量）文件</w:t>
      </w:r>
    </w:p>
    <w:p w14:paraId="0FB41AB9">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w:t>
      </w:r>
      <w:r>
        <w:rPr>
          <w:rFonts w:hint="eastAsia" w:ascii="宋体" w:hAnsi="宋体" w:eastAsia="宋体" w:cs="宋体"/>
          <w:color w:val="auto"/>
          <w:sz w:val="24"/>
          <w:szCs w:val="28"/>
        </w:rPr>
        <w:t>技术（质量）条款差异表</w:t>
      </w:r>
    </w:p>
    <w:p w14:paraId="3DD8032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8"/>
        </w:rPr>
        <w:t>其他技术（质量）资料</w:t>
      </w:r>
    </w:p>
    <w:p w14:paraId="35B8137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59DF0408">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三、商务文件</w:t>
      </w:r>
    </w:p>
    <w:p w14:paraId="46B730E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（一）投标函（格式）</w:t>
      </w:r>
    </w:p>
    <w:p w14:paraId="084B6AD9">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（二）商务条款差异表</w:t>
      </w:r>
    </w:p>
    <w:p w14:paraId="11F9B8C0">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（三）其他商务资料</w:t>
      </w:r>
    </w:p>
    <w:p w14:paraId="680D4F33">
      <w:pPr>
        <w:tabs>
          <w:tab w:val="left" w:pos="1764"/>
        </w:tabs>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四、其他</w:t>
      </w:r>
    </w:p>
    <w:p w14:paraId="0A83345D">
      <w:pPr>
        <w:tabs>
          <w:tab w:val="left" w:pos="6300"/>
        </w:tabs>
        <w:snapToGrid w:val="0"/>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（一）中小企业声明函、监狱企业证明文件、残疾人福利性单位声明函</w:t>
      </w:r>
    </w:p>
    <w:p w14:paraId="72812F0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（二）其他与项目有关的资料（自附）</w:t>
      </w:r>
    </w:p>
    <w:p w14:paraId="020A0353">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（三）分包意向协议（格式自定）</w:t>
      </w:r>
    </w:p>
    <w:p w14:paraId="49802E39">
      <w:pPr>
        <w:snapToGrid w:val="0"/>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五、资格文件</w:t>
      </w:r>
    </w:p>
    <w:p w14:paraId="3AFC4CD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（一）法人营业执照（副本）或事业单位法人证书（副本）或个体工商户营业执照或有效的自然人身份证明或社会团体法人登记证书复印件</w:t>
      </w:r>
    </w:p>
    <w:p w14:paraId="2119768A">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（二）法定代表人身份证明书（格式）</w:t>
      </w:r>
    </w:p>
    <w:p w14:paraId="2C73AC4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（三）法定代表人授权委托书（格式）</w:t>
      </w:r>
    </w:p>
    <w:p w14:paraId="1E5DC88B">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（四）基本资格条件承诺函（格式）</w:t>
      </w:r>
    </w:p>
    <w:p w14:paraId="6728072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（五）特定资格条件证书或证明文件</w:t>
      </w:r>
    </w:p>
    <w:p w14:paraId="2CE742E8">
      <w:pPr>
        <w:snapToGrid w:val="0"/>
        <w:spacing w:line="400" w:lineRule="exact"/>
        <w:ind w:firstLine="480" w:firstLineChars="200"/>
        <w:rPr>
          <w:rFonts w:hint="eastAsia" w:ascii="宋体" w:hAnsi="宋体" w:eastAsia="宋体" w:cs="宋体"/>
          <w:color w:val="auto"/>
          <w:sz w:val="24"/>
          <w:szCs w:val="24"/>
        </w:rPr>
      </w:pPr>
    </w:p>
    <w:p w14:paraId="1675082F">
      <w:pPr>
        <w:pStyle w:val="3"/>
        <w:pageBreakBefore/>
        <w:spacing w:line="500" w:lineRule="exact"/>
        <w:ind w:firstLine="562" w:firstLineChars="200"/>
        <w:rPr>
          <w:rFonts w:hint="eastAsia" w:ascii="宋体" w:hAnsi="宋体" w:eastAsia="宋体" w:cs="宋体"/>
          <w:b/>
          <w:color w:val="auto"/>
          <w:szCs w:val="28"/>
        </w:rPr>
      </w:pPr>
      <w:bookmarkStart w:id="790" w:name="_Toc10124"/>
      <w:bookmarkStart w:id="791" w:name="_Toc29821"/>
      <w:bookmarkStart w:id="792" w:name="_Toc13547"/>
      <w:bookmarkStart w:id="793" w:name="_Toc429584884"/>
      <w:bookmarkStart w:id="794" w:name="_Toc21561"/>
      <w:bookmarkStart w:id="795" w:name="_Toc15893"/>
      <w:bookmarkStart w:id="796" w:name="_Toc27612"/>
      <w:bookmarkStart w:id="797" w:name="_Toc23361"/>
      <w:bookmarkStart w:id="798" w:name="_Toc18349"/>
      <w:bookmarkStart w:id="799" w:name="_Toc31828"/>
      <w:bookmarkStart w:id="800" w:name="_Toc27943"/>
      <w:bookmarkStart w:id="801" w:name="_Toc14552"/>
      <w:bookmarkStart w:id="802" w:name="_Toc14568"/>
      <w:bookmarkStart w:id="803" w:name="_Toc31914"/>
      <w:bookmarkStart w:id="804" w:name="_Toc75793540"/>
      <w:bookmarkStart w:id="805" w:name="_Toc25659"/>
      <w:bookmarkStart w:id="806" w:name="_Toc7275"/>
      <w:bookmarkStart w:id="807" w:name="_Toc17564"/>
      <w:r>
        <w:rPr>
          <w:rFonts w:hint="eastAsia" w:ascii="宋体" w:hAnsi="宋体" w:eastAsia="宋体" w:cs="宋体"/>
          <w:b/>
          <w:color w:val="auto"/>
          <w:szCs w:val="28"/>
        </w:rPr>
        <w:t>一、经济文件</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14:paraId="7E9921B5">
      <w:pPr>
        <w:snapToGrid w:val="0"/>
        <w:spacing w:line="500" w:lineRule="exact"/>
        <w:jc w:val="center"/>
        <w:rPr>
          <w:rFonts w:hint="eastAsia" w:ascii="宋体" w:hAnsi="宋体" w:eastAsia="宋体" w:cs="宋体"/>
          <w:color w:val="auto"/>
          <w:szCs w:val="36"/>
        </w:rPr>
      </w:pPr>
      <w:r>
        <w:rPr>
          <w:rFonts w:hint="eastAsia" w:ascii="宋体" w:hAnsi="宋体" w:eastAsia="宋体" w:cs="宋体"/>
          <w:color w:val="auto"/>
          <w:szCs w:val="36"/>
        </w:rPr>
        <w:t>（一）开标一览表</w:t>
      </w:r>
    </w:p>
    <w:p w14:paraId="256AB88D">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项目号：</w:t>
      </w:r>
    </w:p>
    <w:p w14:paraId="7016EB93">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招标项目名称：</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7B426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1E8B2B0B">
            <w:pPr>
              <w:spacing w:line="500" w:lineRule="exact"/>
              <w:jc w:val="center"/>
              <w:rPr>
                <w:rFonts w:hint="eastAsia" w:ascii="宋体" w:hAnsi="宋体" w:eastAsia="宋体" w:cs="宋体"/>
                <w:color w:val="auto"/>
                <w:sz w:val="21"/>
                <w:szCs w:val="28"/>
              </w:rPr>
            </w:pPr>
            <w:r>
              <w:rPr>
                <w:rFonts w:hint="eastAsia" w:ascii="宋体" w:hAnsi="宋体" w:eastAsia="宋体" w:cs="宋体"/>
                <w:color w:val="auto"/>
                <w:sz w:val="21"/>
                <w:szCs w:val="28"/>
              </w:rPr>
              <w:t>投标人名称</w:t>
            </w:r>
          </w:p>
        </w:tc>
        <w:tc>
          <w:tcPr>
            <w:tcW w:w="7840" w:type="dxa"/>
            <w:gridSpan w:val="3"/>
            <w:vAlign w:val="center"/>
          </w:tcPr>
          <w:p w14:paraId="1B4D6EAB">
            <w:pPr>
              <w:spacing w:line="500" w:lineRule="exact"/>
              <w:jc w:val="center"/>
              <w:rPr>
                <w:rFonts w:hint="eastAsia" w:ascii="宋体" w:hAnsi="宋体" w:eastAsia="宋体" w:cs="宋体"/>
                <w:color w:val="auto"/>
                <w:sz w:val="21"/>
                <w:szCs w:val="28"/>
              </w:rPr>
            </w:pPr>
          </w:p>
        </w:tc>
      </w:tr>
      <w:tr w14:paraId="5803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2D160957">
            <w:pPr>
              <w:spacing w:line="500" w:lineRule="exact"/>
              <w:jc w:val="center"/>
              <w:rPr>
                <w:rFonts w:hint="eastAsia" w:ascii="宋体" w:hAnsi="宋体" w:eastAsia="宋体" w:cs="宋体"/>
                <w:color w:val="auto"/>
                <w:sz w:val="21"/>
                <w:szCs w:val="28"/>
              </w:rPr>
            </w:pPr>
            <w:r>
              <w:rPr>
                <w:rFonts w:hint="eastAsia" w:ascii="宋体" w:hAnsi="宋体" w:eastAsia="宋体" w:cs="宋体"/>
                <w:color w:val="auto"/>
                <w:sz w:val="21"/>
                <w:szCs w:val="28"/>
              </w:rPr>
              <w:t>包号及名称</w:t>
            </w:r>
          </w:p>
        </w:tc>
        <w:tc>
          <w:tcPr>
            <w:tcW w:w="932" w:type="dxa"/>
            <w:vAlign w:val="center"/>
          </w:tcPr>
          <w:p w14:paraId="3C954EDE">
            <w:pPr>
              <w:spacing w:line="500" w:lineRule="exact"/>
              <w:jc w:val="center"/>
              <w:rPr>
                <w:rFonts w:hint="eastAsia" w:ascii="宋体" w:hAnsi="宋体" w:eastAsia="宋体" w:cs="宋体"/>
                <w:color w:val="auto"/>
                <w:sz w:val="21"/>
                <w:szCs w:val="28"/>
              </w:rPr>
            </w:pPr>
            <w:r>
              <w:rPr>
                <w:rFonts w:hint="eastAsia" w:ascii="宋体" w:hAnsi="宋体" w:eastAsia="宋体" w:cs="宋体"/>
                <w:color w:val="auto"/>
                <w:sz w:val="21"/>
                <w:szCs w:val="28"/>
              </w:rPr>
              <w:t>数量</w:t>
            </w:r>
          </w:p>
        </w:tc>
        <w:tc>
          <w:tcPr>
            <w:tcW w:w="4760" w:type="dxa"/>
            <w:vAlign w:val="center"/>
          </w:tcPr>
          <w:p w14:paraId="656ED87A">
            <w:pPr>
              <w:spacing w:line="500" w:lineRule="exact"/>
              <w:jc w:val="center"/>
              <w:rPr>
                <w:rFonts w:hint="eastAsia" w:ascii="宋体" w:hAnsi="宋体" w:eastAsia="宋体" w:cs="宋体"/>
                <w:color w:val="auto"/>
                <w:sz w:val="21"/>
                <w:szCs w:val="28"/>
              </w:rPr>
            </w:pPr>
            <w:r>
              <w:rPr>
                <w:rFonts w:hint="eastAsia" w:ascii="宋体" w:hAnsi="宋体" w:eastAsia="宋体" w:cs="宋体"/>
                <w:color w:val="auto"/>
                <w:sz w:val="21"/>
                <w:szCs w:val="28"/>
              </w:rPr>
              <w:t>投标报价（小写）</w:t>
            </w:r>
          </w:p>
        </w:tc>
      </w:tr>
      <w:tr w14:paraId="3AC2F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4594837B">
            <w:pPr>
              <w:spacing w:line="500" w:lineRule="exact"/>
              <w:rPr>
                <w:rFonts w:hint="eastAsia" w:ascii="宋体" w:hAnsi="宋体" w:eastAsia="宋体" w:cs="宋体"/>
                <w:color w:val="auto"/>
                <w:sz w:val="21"/>
                <w:szCs w:val="28"/>
              </w:rPr>
            </w:pPr>
          </w:p>
        </w:tc>
        <w:tc>
          <w:tcPr>
            <w:tcW w:w="932" w:type="dxa"/>
            <w:tcBorders>
              <w:bottom w:val="single" w:color="auto" w:sz="4" w:space="0"/>
            </w:tcBorders>
          </w:tcPr>
          <w:p w14:paraId="2251ED21">
            <w:pPr>
              <w:spacing w:line="500" w:lineRule="exact"/>
              <w:rPr>
                <w:rFonts w:hint="eastAsia" w:ascii="宋体" w:hAnsi="宋体" w:eastAsia="宋体" w:cs="宋体"/>
                <w:color w:val="auto"/>
                <w:sz w:val="21"/>
                <w:szCs w:val="28"/>
              </w:rPr>
            </w:pPr>
          </w:p>
        </w:tc>
        <w:tc>
          <w:tcPr>
            <w:tcW w:w="4760" w:type="dxa"/>
            <w:tcBorders>
              <w:bottom w:val="single" w:color="auto" w:sz="4" w:space="0"/>
            </w:tcBorders>
          </w:tcPr>
          <w:p w14:paraId="10CF1B19">
            <w:pPr>
              <w:spacing w:line="500" w:lineRule="exact"/>
              <w:rPr>
                <w:rFonts w:hint="eastAsia" w:ascii="宋体" w:hAnsi="宋体" w:eastAsia="宋体" w:cs="宋体"/>
                <w:color w:val="auto"/>
                <w:sz w:val="21"/>
                <w:szCs w:val="28"/>
              </w:rPr>
            </w:pPr>
          </w:p>
        </w:tc>
      </w:tr>
      <w:tr w14:paraId="047D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3E8C7D24">
            <w:pPr>
              <w:spacing w:line="560" w:lineRule="exact"/>
              <w:rPr>
                <w:rFonts w:hint="eastAsia" w:ascii="宋体" w:hAnsi="宋体" w:eastAsia="宋体" w:cs="宋体"/>
                <w:color w:val="auto"/>
                <w:sz w:val="21"/>
                <w:szCs w:val="28"/>
              </w:rPr>
            </w:pPr>
            <w:r>
              <w:rPr>
                <w:rFonts w:hint="eastAsia" w:ascii="宋体" w:hAnsi="宋体" w:eastAsia="宋体" w:cs="宋体"/>
                <w:color w:val="auto"/>
                <w:sz w:val="21"/>
                <w:szCs w:val="28"/>
              </w:rPr>
              <w:t xml:space="preserve">投标报价（大写）：                           </w:t>
            </w:r>
          </w:p>
        </w:tc>
      </w:tr>
      <w:tr w14:paraId="41F3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325A6C90">
            <w:pPr>
              <w:pStyle w:val="34"/>
              <w:spacing w:line="500" w:lineRule="exact"/>
              <w:rPr>
                <w:rFonts w:hint="eastAsia" w:ascii="宋体" w:hAnsi="宋体" w:eastAsia="宋体" w:cs="宋体"/>
                <w:color w:val="auto"/>
                <w:sz w:val="21"/>
                <w:szCs w:val="28"/>
              </w:rPr>
            </w:pPr>
            <w:r>
              <w:rPr>
                <w:rFonts w:hint="eastAsia" w:ascii="宋体" w:hAnsi="宋体" w:eastAsia="宋体" w:cs="宋体"/>
                <w:color w:val="auto"/>
                <w:sz w:val="21"/>
                <w:szCs w:val="28"/>
              </w:rPr>
              <w:t>备注：</w:t>
            </w:r>
          </w:p>
        </w:tc>
      </w:tr>
    </w:tbl>
    <w:p w14:paraId="3D30FE53">
      <w:pPr>
        <w:pStyle w:val="34"/>
        <w:spacing w:line="500" w:lineRule="exact"/>
        <w:rPr>
          <w:rFonts w:hint="eastAsia" w:ascii="宋体" w:hAnsi="宋体" w:eastAsia="宋体" w:cs="宋体"/>
          <w:color w:val="auto"/>
          <w:sz w:val="24"/>
          <w:szCs w:val="28"/>
        </w:rPr>
      </w:pPr>
    </w:p>
    <w:p w14:paraId="51C81467">
      <w:pPr>
        <w:rPr>
          <w:rFonts w:hint="eastAsia" w:ascii="宋体" w:hAnsi="宋体" w:eastAsia="宋体" w:cs="宋体"/>
          <w:color w:val="auto"/>
        </w:rPr>
      </w:pPr>
    </w:p>
    <w:p w14:paraId="5BBA6BE2">
      <w:pPr>
        <w:spacing w:line="500" w:lineRule="exact"/>
        <w:rPr>
          <w:rFonts w:hint="eastAsia" w:ascii="宋体" w:hAnsi="宋体" w:eastAsia="宋体" w:cs="宋体"/>
          <w:color w:val="auto"/>
          <w:sz w:val="24"/>
          <w:szCs w:val="28"/>
        </w:rPr>
      </w:pPr>
    </w:p>
    <w:p w14:paraId="54F5E994">
      <w:pPr>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投标人：                      法定代表人（或法定代表人授权代表）或自然人：</w:t>
      </w:r>
    </w:p>
    <w:p w14:paraId="57763B80">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（投标人公章）                               （签署或盖章）</w:t>
      </w:r>
    </w:p>
    <w:p w14:paraId="683C39E6">
      <w:pPr>
        <w:spacing w:line="500" w:lineRule="exact"/>
        <w:rPr>
          <w:rFonts w:hint="eastAsia" w:ascii="宋体" w:hAnsi="宋体" w:eastAsia="宋体" w:cs="宋体"/>
          <w:color w:val="auto"/>
          <w:sz w:val="24"/>
          <w:szCs w:val="28"/>
        </w:rPr>
      </w:pPr>
    </w:p>
    <w:p w14:paraId="2C797B2A">
      <w:pPr>
        <w:spacing w:line="500" w:lineRule="exact"/>
        <w:rPr>
          <w:rFonts w:hint="eastAsia" w:ascii="宋体" w:hAnsi="宋体" w:eastAsia="宋体" w:cs="宋体"/>
          <w:color w:val="auto"/>
          <w:sz w:val="24"/>
          <w:szCs w:val="28"/>
        </w:rPr>
      </w:pPr>
    </w:p>
    <w:p w14:paraId="696D4868">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365F99A5">
      <w:pPr>
        <w:snapToGrid w:val="0"/>
        <w:spacing w:line="500" w:lineRule="exact"/>
        <w:ind w:firstLine="480" w:firstLineChars="200"/>
        <w:rPr>
          <w:rFonts w:hint="eastAsia" w:ascii="宋体" w:hAnsi="宋体" w:eastAsia="宋体" w:cs="宋体"/>
          <w:color w:val="auto"/>
          <w:sz w:val="24"/>
          <w:szCs w:val="28"/>
        </w:rPr>
      </w:pPr>
    </w:p>
    <w:p w14:paraId="3945C86F">
      <w:pPr>
        <w:snapToGrid w:val="0"/>
        <w:spacing w:line="500" w:lineRule="exact"/>
        <w:ind w:firstLine="480" w:firstLineChars="200"/>
        <w:rPr>
          <w:rFonts w:hint="eastAsia" w:ascii="宋体" w:hAnsi="宋体" w:eastAsia="宋体" w:cs="宋体"/>
          <w:color w:val="auto"/>
          <w:sz w:val="24"/>
          <w:szCs w:val="28"/>
        </w:rPr>
      </w:pPr>
    </w:p>
    <w:p w14:paraId="57835177">
      <w:pPr>
        <w:snapToGrid w:val="0"/>
        <w:spacing w:line="500" w:lineRule="exact"/>
        <w:ind w:firstLine="480" w:firstLineChars="200"/>
        <w:rPr>
          <w:rFonts w:hint="eastAsia" w:ascii="宋体" w:hAnsi="宋体" w:eastAsia="宋体" w:cs="宋体"/>
          <w:color w:val="auto"/>
          <w:sz w:val="24"/>
          <w:szCs w:val="28"/>
        </w:rPr>
      </w:pPr>
    </w:p>
    <w:p w14:paraId="0A0B21DB">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说明：</w:t>
      </w:r>
    </w:p>
    <w:p w14:paraId="31B0739F">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1.开标一览表按格式填列；</w:t>
      </w:r>
    </w:p>
    <w:p w14:paraId="7C88DD21">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2.开标一览表在开标大会上当众宣读，务必填写清楚，准确无误；</w:t>
      </w:r>
    </w:p>
    <w:p w14:paraId="00B89B4B">
      <w:pPr>
        <w:snapToGrid w:val="0"/>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szCs w:val="28"/>
        </w:rPr>
        <w:br w:type="page"/>
      </w:r>
      <w:r>
        <w:rPr>
          <w:rFonts w:hint="eastAsia" w:ascii="宋体" w:hAnsi="宋体" w:eastAsia="宋体" w:cs="宋体"/>
          <w:color w:val="auto"/>
          <w:sz w:val="24"/>
          <w:szCs w:val="28"/>
        </w:rPr>
        <w:t>（二）分项报价明细表</w:t>
      </w:r>
    </w:p>
    <w:p w14:paraId="37045A15">
      <w:pPr>
        <w:snapToGrid w:val="0"/>
        <w:spacing w:line="400" w:lineRule="exact"/>
        <w:ind w:firstLine="482" w:firstLineChars="200"/>
        <w:jc w:val="center"/>
        <w:rPr>
          <w:rFonts w:hint="eastAsia" w:ascii="宋体" w:hAnsi="宋体" w:eastAsia="宋体" w:cs="宋体"/>
          <w:b/>
          <w:bCs/>
          <w:color w:val="auto"/>
          <w:sz w:val="24"/>
          <w:szCs w:val="28"/>
        </w:rPr>
      </w:pPr>
    </w:p>
    <w:p w14:paraId="7AD58DA5">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项目号：</w:t>
      </w:r>
    </w:p>
    <w:p w14:paraId="7EA00735">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招标项目名称：                                           单位：元</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934"/>
        <w:gridCol w:w="2474"/>
        <w:gridCol w:w="1242"/>
        <w:gridCol w:w="1242"/>
        <w:gridCol w:w="934"/>
        <w:gridCol w:w="934"/>
        <w:gridCol w:w="934"/>
      </w:tblGrid>
      <w:tr w14:paraId="64727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485" w:type="pct"/>
            <w:vAlign w:val="center"/>
          </w:tcPr>
          <w:p w14:paraId="38E40DD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485" w:type="pct"/>
            <w:vAlign w:val="center"/>
          </w:tcPr>
          <w:p w14:paraId="3062F1A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名称</w:t>
            </w:r>
          </w:p>
        </w:tc>
        <w:tc>
          <w:tcPr>
            <w:tcW w:w="1285" w:type="pct"/>
            <w:vAlign w:val="center"/>
          </w:tcPr>
          <w:p w14:paraId="5572C5DE">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品牌、规格型号</w:t>
            </w:r>
          </w:p>
        </w:tc>
        <w:tc>
          <w:tcPr>
            <w:tcW w:w="645" w:type="pct"/>
            <w:vAlign w:val="center"/>
          </w:tcPr>
          <w:p w14:paraId="78EE49D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制造商</w:t>
            </w:r>
          </w:p>
        </w:tc>
        <w:tc>
          <w:tcPr>
            <w:tcW w:w="645" w:type="pct"/>
            <w:vAlign w:val="center"/>
          </w:tcPr>
          <w:p w14:paraId="3FFCDBB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生产地</w:t>
            </w:r>
          </w:p>
        </w:tc>
        <w:tc>
          <w:tcPr>
            <w:tcW w:w="485" w:type="pct"/>
            <w:vAlign w:val="center"/>
          </w:tcPr>
          <w:p w14:paraId="25C8F431">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数量</w:t>
            </w:r>
          </w:p>
        </w:tc>
        <w:tc>
          <w:tcPr>
            <w:tcW w:w="485" w:type="pct"/>
            <w:vAlign w:val="center"/>
          </w:tcPr>
          <w:p w14:paraId="43542FF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单价</w:t>
            </w:r>
          </w:p>
        </w:tc>
        <w:tc>
          <w:tcPr>
            <w:tcW w:w="485" w:type="pct"/>
            <w:vAlign w:val="center"/>
          </w:tcPr>
          <w:p w14:paraId="7C96AE2F">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r>
      <w:tr w14:paraId="4E7E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3FE38114">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485" w:type="pct"/>
            <w:vAlign w:val="center"/>
          </w:tcPr>
          <w:p w14:paraId="6F6564A4">
            <w:pPr>
              <w:jc w:val="center"/>
              <w:rPr>
                <w:rFonts w:hint="eastAsia" w:ascii="宋体" w:hAnsi="宋体" w:eastAsia="宋体" w:cs="宋体"/>
                <w:color w:val="auto"/>
                <w:sz w:val="21"/>
                <w:szCs w:val="21"/>
              </w:rPr>
            </w:pPr>
          </w:p>
        </w:tc>
        <w:tc>
          <w:tcPr>
            <w:tcW w:w="1285" w:type="pct"/>
          </w:tcPr>
          <w:p w14:paraId="65EE39E9">
            <w:pPr>
              <w:jc w:val="center"/>
              <w:rPr>
                <w:rFonts w:hint="eastAsia" w:ascii="宋体" w:hAnsi="宋体" w:eastAsia="宋体" w:cs="宋体"/>
                <w:color w:val="auto"/>
                <w:sz w:val="21"/>
                <w:szCs w:val="21"/>
              </w:rPr>
            </w:pPr>
          </w:p>
        </w:tc>
        <w:tc>
          <w:tcPr>
            <w:tcW w:w="645" w:type="pct"/>
          </w:tcPr>
          <w:p w14:paraId="380B8216">
            <w:pPr>
              <w:jc w:val="center"/>
              <w:rPr>
                <w:rFonts w:hint="eastAsia" w:ascii="宋体" w:hAnsi="宋体" w:eastAsia="宋体" w:cs="宋体"/>
                <w:color w:val="auto"/>
                <w:sz w:val="21"/>
                <w:szCs w:val="21"/>
              </w:rPr>
            </w:pPr>
          </w:p>
        </w:tc>
        <w:tc>
          <w:tcPr>
            <w:tcW w:w="645" w:type="pct"/>
          </w:tcPr>
          <w:p w14:paraId="3320C3A3">
            <w:pPr>
              <w:jc w:val="center"/>
              <w:rPr>
                <w:rFonts w:hint="eastAsia" w:ascii="宋体" w:hAnsi="宋体" w:eastAsia="宋体" w:cs="宋体"/>
                <w:color w:val="auto"/>
                <w:sz w:val="21"/>
                <w:szCs w:val="21"/>
              </w:rPr>
            </w:pPr>
          </w:p>
        </w:tc>
        <w:tc>
          <w:tcPr>
            <w:tcW w:w="485" w:type="pct"/>
            <w:vAlign w:val="center"/>
          </w:tcPr>
          <w:p w14:paraId="549943C8">
            <w:pPr>
              <w:jc w:val="center"/>
              <w:rPr>
                <w:rFonts w:hint="eastAsia" w:ascii="宋体" w:hAnsi="宋体" w:eastAsia="宋体" w:cs="宋体"/>
                <w:color w:val="auto"/>
                <w:sz w:val="21"/>
                <w:szCs w:val="21"/>
              </w:rPr>
            </w:pPr>
          </w:p>
        </w:tc>
        <w:tc>
          <w:tcPr>
            <w:tcW w:w="485" w:type="pct"/>
          </w:tcPr>
          <w:p w14:paraId="6BCAD8AE">
            <w:pPr>
              <w:jc w:val="center"/>
              <w:rPr>
                <w:rFonts w:hint="eastAsia" w:ascii="宋体" w:hAnsi="宋体" w:eastAsia="宋体" w:cs="宋体"/>
                <w:color w:val="auto"/>
                <w:sz w:val="21"/>
                <w:szCs w:val="21"/>
              </w:rPr>
            </w:pPr>
          </w:p>
        </w:tc>
        <w:tc>
          <w:tcPr>
            <w:tcW w:w="485" w:type="pct"/>
          </w:tcPr>
          <w:p w14:paraId="058C640A">
            <w:pPr>
              <w:jc w:val="center"/>
              <w:rPr>
                <w:rFonts w:hint="eastAsia" w:ascii="宋体" w:hAnsi="宋体" w:eastAsia="宋体" w:cs="宋体"/>
                <w:color w:val="auto"/>
                <w:sz w:val="21"/>
                <w:szCs w:val="21"/>
              </w:rPr>
            </w:pPr>
          </w:p>
        </w:tc>
      </w:tr>
      <w:tr w14:paraId="5E16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7C230918">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485" w:type="pct"/>
            <w:vAlign w:val="center"/>
          </w:tcPr>
          <w:p w14:paraId="3B0004BF">
            <w:pPr>
              <w:jc w:val="center"/>
              <w:rPr>
                <w:rFonts w:hint="eastAsia" w:ascii="宋体" w:hAnsi="宋体" w:eastAsia="宋体" w:cs="宋体"/>
                <w:color w:val="auto"/>
                <w:sz w:val="21"/>
                <w:szCs w:val="21"/>
              </w:rPr>
            </w:pPr>
          </w:p>
        </w:tc>
        <w:tc>
          <w:tcPr>
            <w:tcW w:w="1285" w:type="pct"/>
          </w:tcPr>
          <w:p w14:paraId="77ADA606">
            <w:pPr>
              <w:jc w:val="center"/>
              <w:rPr>
                <w:rFonts w:hint="eastAsia" w:ascii="宋体" w:hAnsi="宋体" w:eastAsia="宋体" w:cs="宋体"/>
                <w:color w:val="auto"/>
                <w:sz w:val="21"/>
                <w:szCs w:val="21"/>
              </w:rPr>
            </w:pPr>
          </w:p>
        </w:tc>
        <w:tc>
          <w:tcPr>
            <w:tcW w:w="645" w:type="pct"/>
          </w:tcPr>
          <w:p w14:paraId="3E920225">
            <w:pPr>
              <w:jc w:val="center"/>
              <w:rPr>
                <w:rFonts w:hint="eastAsia" w:ascii="宋体" w:hAnsi="宋体" w:eastAsia="宋体" w:cs="宋体"/>
                <w:color w:val="auto"/>
                <w:sz w:val="21"/>
                <w:szCs w:val="21"/>
              </w:rPr>
            </w:pPr>
          </w:p>
        </w:tc>
        <w:tc>
          <w:tcPr>
            <w:tcW w:w="645" w:type="pct"/>
          </w:tcPr>
          <w:p w14:paraId="256DE2BA">
            <w:pPr>
              <w:jc w:val="center"/>
              <w:rPr>
                <w:rFonts w:hint="eastAsia" w:ascii="宋体" w:hAnsi="宋体" w:eastAsia="宋体" w:cs="宋体"/>
                <w:color w:val="auto"/>
                <w:sz w:val="21"/>
                <w:szCs w:val="21"/>
              </w:rPr>
            </w:pPr>
          </w:p>
        </w:tc>
        <w:tc>
          <w:tcPr>
            <w:tcW w:w="485" w:type="pct"/>
            <w:vAlign w:val="center"/>
          </w:tcPr>
          <w:p w14:paraId="765C0E3B">
            <w:pPr>
              <w:jc w:val="center"/>
              <w:rPr>
                <w:rFonts w:hint="eastAsia" w:ascii="宋体" w:hAnsi="宋体" w:eastAsia="宋体" w:cs="宋体"/>
                <w:color w:val="auto"/>
                <w:sz w:val="21"/>
                <w:szCs w:val="21"/>
              </w:rPr>
            </w:pPr>
          </w:p>
        </w:tc>
        <w:tc>
          <w:tcPr>
            <w:tcW w:w="485" w:type="pct"/>
          </w:tcPr>
          <w:p w14:paraId="3485F778">
            <w:pPr>
              <w:jc w:val="center"/>
              <w:rPr>
                <w:rFonts w:hint="eastAsia" w:ascii="宋体" w:hAnsi="宋体" w:eastAsia="宋体" w:cs="宋体"/>
                <w:color w:val="auto"/>
                <w:sz w:val="21"/>
                <w:szCs w:val="21"/>
              </w:rPr>
            </w:pPr>
          </w:p>
        </w:tc>
        <w:tc>
          <w:tcPr>
            <w:tcW w:w="485" w:type="pct"/>
          </w:tcPr>
          <w:p w14:paraId="246B0F6F">
            <w:pPr>
              <w:jc w:val="center"/>
              <w:rPr>
                <w:rFonts w:hint="eastAsia" w:ascii="宋体" w:hAnsi="宋体" w:eastAsia="宋体" w:cs="宋体"/>
                <w:color w:val="auto"/>
                <w:sz w:val="21"/>
                <w:szCs w:val="21"/>
              </w:rPr>
            </w:pPr>
          </w:p>
        </w:tc>
      </w:tr>
      <w:tr w14:paraId="3ACA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7415C69">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485" w:type="pct"/>
            <w:vAlign w:val="center"/>
          </w:tcPr>
          <w:p w14:paraId="4049AD32">
            <w:pPr>
              <w:jc w:val="center"/>
              <w:rPr>
                <w:rFonts w:hint="eastAsia" w:ascii="宋体" w:hAnsi="宋体" w:eastAsia="宋体" w:cs="宋体"/>
                <w:color w:val="auto"/>
                <w:sz w:val="21"/>
                <w:szCs w:val="21"/>
              </w:rPr>
            </w:pPr>
          </w:p>
        </w:tc>
        <w:tc>
          <w:tcPr>
            <w:tcW w:w="1285" w:type="pct"/>
          </w:tcPr>
          <w:p w14:paraId="36499879">
            <w:pPr>
              <w:jc w:val="center"/>
              <w:rPr>
                <w:rFonts w:hint="eastAsia" w:ascii="宋体" w:hAnsi="宋体" w:eastAsia="宋体" w:cs="宋体"/>
                <w:color w:val="auto"/>
                <w:sz w:val="21"/>
                <w:szCs w:val="21"/>
              </w:rPr>
            </w:pPr>
          </w:p>
        </w:tc>
        <w:tc>
          <w:tcPr>
            <w:tcW w:w="645" w:type="pct"/>
          </w:tcPr>
          <w:p w14:paraId="600BCE21">
            <w:pPr>
              <w:jc w:val="center"/>
              <w:rPr>
                <w:rFonts w:hint="eastAsia" w:ascii="宋体" w:hAnsi="宋体" w:eastAsia="宋体" w:cs="宋体"/>
                <w:color w:val="auto"/>
                <w:sz w:val="21"/>
                <w:szCs w:val="21"/>
              </w:rPr>
            </w:pPr>
          </w:p>
        </w:tc>
        <w:tc>
          <w:tcPr>
            <w:tcW w:w="645" w:type="pct"/>
          </w:tcPr>
          <w:p w14:paraId="113F3D10">
            <w:pPr>
              <w:jc w:val="center"/>
              <w:rPr>
                <w:rFonts w:hint="eastAsia" w:ascii="宋体" w:hAnsi="宋体" w:eastAsia="宋体" w:cs="宋体"/>
                <w:color w:val="auto"/>
                <w:sz w:val="21"/>
                <w:szCs w:val="21"/>
              </w:rPr>
            </w:pPr>
          </w:p>
        </w:tc>
        <w:tc>
          <w:tcPr>
            <w:tcW w:w="485" w:type="pct"/>
            <w:vAlign w:val="center"/>
          </w:tcPr>
          <w:p w14:paraId="5F6ACE4F">
            <w:pPr>
              <w:jc w:val="center"/>
              <w:rPr>
                <w:rFonts w:hint="eastAsia" w:ascii="宋体" w:hAnsi="宋体" w:eastAsia="宋体" w:cs="宋体"/>
                <w:color w:val="auto"/>
                <w:sz w:val="21"/>
                <w:szCs w:val="21"/>
              </w:rPr>
            </w:pPr>
          </w:p>
        </w:tc>
        <w:tc>
          <w:tcPr>
            <w:tcW w:w="485" w:type="pct"/>
          </w:tcPr>
          <w:p w14:paraId="16285640">
            <w:pPr>
              <w:jc w:val="center"/>
              <w:rPr>
                <w:rFonts w:hint="eastAsia" w:ascii="宋体" w:hAnsi="宋体" w:eastAsia="宋体" w:cs="宋体"/>
                <w:color w:val="auto"/>
                <w:sz w:val="21"/>
                <w:szCs w:val="21"/>
              </w:rPr>
            </w:pPr>
          </w:p>
        </w:tc>
        <w:tc>
          <w:tcPr>
            <w:tcW w:w="485" w:type="pct"/>
          </w:tcPr>
          <w:p w14:paraId="009014D4">
            <w:pPr>
              <w:jc w:val="center"/>
              <w:rPr>
                <w:rFonts w:hint="eastAsia" w:ascii="宋体" w:hAnsi="宋体" w:eastAsia="宋体" w:cs="宋体"/>
                <w:color w:val="auto"/>
                <w:sz w:val="21"/>
                <w:szCs w:val="21"/>
              </w:rPr>
            </w:pPr>
          </w:p>
        </w:tc>
      </w:tr>
      <w:tr w14:paraId="7AE3B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09C53C7E">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485" w:type="pct"/>
            <w:vAlign w:val="center"/>
          </w:tcPr>
          <w:p w14:paraId="16A8DAC7">
            <w:pPr>
              <w:jc w:val="center"/>
              <w:rPr>
                <w:rFonts w:hint="eastAsia" w:ascii="宋体" w:hAnsi="宋体" w:eastAsia="宋体" w:cs="宋体"/>
                <w:color w:val="auto"/>
                <w:sz w:val="21"/>
                <w:szCs w:val="21"/>
              </w:rPr>
            </w:pPr>
          </w:p>
        </w:tc>
        <w:tc>
          <w:tcPr>
            <w:tcW w:w="1285" w:type="pct"/>
          </w:tcPr>
          <w:p w14:paraId="7F834D15">
            <w:pPr>
              <w:jc w:val="center"/>
              <w:rPr>
                <w:rFonts w:hint="eastAsia" w:ascii="宋体" w:hAnsi="宋体" w:eastAsia="宋体" w:cs="宋体"/>
                <w:color w:val="auto"/>
                <w:sz w:val="21"/>
                <w:szCs w:val="21"/>
              </w:rPr>
            </w:pPr>
          </w:p>
        </w:tc>
        <w:tc>
          <w:tcPr>
            <w:tcW w:w="645" w:type="pct"/>
          </w:tcPr>
          <w:p w14:paraId="160A89AD">
            <w:pPr>
              <w:jc w:val="center"/>
              <w:rPr>
                <w:rFonts w:hint="eastAsia" w:ascii="宋体" w:hAnsi="宋体" w:eastAsia="宋体" w:cs="宋体"/>
                <w:color w:val="auto"/>
                <w:sz w:val="21"/>
                <w:szCs w:val="21"/>
              </w:rPr>
            </w:pPr>
          </w:p>
        </w:tc>
        <w:tc>
          <w:tcPr>
            <w:tcW w:w="645" w:type="pct"/>
          </w:tcPr>
          <w:p w14:paraId="5591227B">
            <w:pPr>
              <w:jc w:val="center"/>
              <w:rPr>
                <w:rFonts w:hint="eastAsia" w:ascii="宋体" w:hAnsi="宋体" w:eastAsia="宋体" w:cs="宋体"/>
                <w:color w:val="auto"/>
                <w:sz w:val="21"/>
                <w:szCs w:val="21"/>
              </w:rPr>
            </w:pPr>
          </w:p>
        </w:tc>
        <w:tc>
          <w:tcPr>
            <w:tcW w:w="485" w:type="pct"/>
            <w:vAlign w:val="center"/>
          </w:tcPr>
          <w:p w14:paraId="1C6175C8">
            <w:pPr>
              <w:jc w:val="center"/>
              <w:rPr>
                <w:rFonts w:hint="eastAsia" w:ascii="宋体" w:hAnsi="宋体" w:eastAsia="宋体" w:cs="宋体"/>
                <w:color w:val="auto"/>
                <w:sz w:val="21"/>
                <w:szCs w:val="21"/>
              </w:rPr>
            </w:pPr>
          </w:p>
        </w:tc>
        <w:tc>
          <w:tcPr>
            <w:tcW w:w="485" w:type="pct"/>
          </w:tcPr>
          <w:p w14:paraId="38E12954">
            <w:pPr>
              <w:jc w:val="center"/>
              <w:rPr>
                <w:rFonts w:hint="eastAsia" w:ascii="宋体" w:hAnsi="宋体" w:eastAsia="宋体" w:cs="宋体"/>
                <w:color w:val="auto"/>
                <w:sz w:val="21"/>
                <w:szCs w:val="21"/>
              </w:rPr>
            </w:pPr>
          </w:p>
        </w:tc>
        <w:tc>
          <w:tcPr>
            <w:tcW w:w="485" w:type="pct"/>
          </w:tcPr>
          <w:p w14:paraId="7733D73E">
            <w:pPr>
              <w:jc w:val="center"/>
              <w:rPr>
                <w:rFonts w:hint="eastAsia" w:ascii="宋体" w:hAnsi="宋体" w:eastAsia="宋体" w:cs="宋体"/>
                <w:color w:val="auto"/>
                <w:sz w:val="21"/>
                <w:szCs w:val="21"/>
              </w:rPr>
            </w:pPr>
          </w:p>
        </w:tc>
      </w:tr>
      <w:tr w14:paraId="4462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49598D08">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485" w:type="pct"/>
            <w:vAlign w:val="center"/>
          </w:tcPr>
          <w:p w14:paraId="298F5852">
            <w:pPr>
              <w:jc w:val="center"/>
              <w:rPr>
                <w:rFonts w:hint="eastAsia" w:ascii="宋体" w:hAnsi="宋体" w:eastAsia="宋体" w:cs="宋体"/>
                <w:color w:val="auto"/>
                <w:sz w:val="21"/>
                <w:szCs w:val="21"/>
              </w:rPr>
            </w:pPr>
          </w:p>
        </w:tc>
        <w:tc>
          <w:tcPr>
            <w:tcW w:w="1285" w:type="pct"/>
          </w:tcPr>
          <w:p w14:paraId="40382ADB">
            <w:pPr>
              <w:jc w:val="center"/>
              <w:rPr>
                <w:rFonts w:hint="eastAsia" w:ascii="宋体" w:hAnsi="宋体" w:eastAsia="宋体" w:cs="宋体"/>
                <w:color w:val="auto"/>
                <w:sz w:val="21"/>
                <w:szCs w:val="21"/>
              </w:rPr>
            </w:pPr>
          </w:p>
        </w:tc>
        <w:tc>
          <w:tcPr>
            <w:tcW w:w="645" w:type="pct"/>
          </w:tcPr>
          <w:p w14:paraId="28339A0F">
            <w:pPr>
              <w:jc w:val="center"/>
              <w:rPr>
                <w:rFonts w:hint="eastAsia" w:ascii="宋体" w:hAnsi="宋体" w:eastAsia="宋体" w:cs="宋体"/>
                <w:color w:val="auto"/>
                <w:sz w:val="21"/>
                <w:szCs w:val="21"/>
              </w:rPr>
            </w:pPr>
          </w:p>
        </w:tc>
        <w:tc>
          <w:tcPr>
            <w:tcW w:w="645" w:type="pct"/>
          </w:tcPr>
          <w:p w14:paraId="29C1D783">
            <w:pPr>
              <w:jc w:val="center"/>
              <w:rPr>
                <w:rFonts w:hint="eastAsia" w:ascii="宋体" w:hAnsi="宋体" w:eastAsia="宋体" w:cs="宋体"/>
                <w:color w:val="auto"/>
                <w:sz w:val="21"/>
                <w:szCs w:val="21"/>
              </w:rPr>
            </w:pPr>
          </w:p>
        </w:tc>
        <w:tc>
          <w:tcPr>
            <w:tcW w:w="485" w:type="pct"/>
            <w:vAlign w:val="center"/>
          </w:tcPr>
          <w:p w14:paraId="26E24DAC">
            <w:pPr>
              <w:jc w:val="center"/>
              <w:rPr>
                <w:rFonts w:hint="eastAsia" w:ascii="宋体" w:hAnsi="宋体" w:eastAsia="宋体" w:cs="宋体"/>
                <w:color w:val="auto"/>
                <w:sz w:val="21"/>
                <w:szCs w:val="21"/>
              </w:rPr>
            </w:pPr>
          </w:p>
        </w:tc>
        <w:tc>
          <w:tcPr>
            <w:tcW w:w="485" w:type="pct"/>
          </w:tcPr>
          <w:p w14:paraId="775D0ADC">
            <w:pPr>
              <w:jc w:val="center"/>
              <w:rPr>
                <w:rFonts w:hint="eastAsia" w:ascii="宋体" w:hAnsi="宋体" w:eastAsia="宋体" w:cs="宋体"/>
                <w:color w:val="auto"/>
                <w:sz w:val="21"/>
                <w:szCs w:val="21"/>
              </w:rPr>
            </w:pPr>
          </w:p>
        </w:tc>
        <w:tc>
          <w:tcPr>
            <w:tcW w:w="485" w:type="pct"/>
          </w:tcPr>
          <w:p w14:paraId="4DBA1385">
            <w:pPr>
              <w:jc w:val="center"/>
              <w:rPr>
                <w:rFonts w:hint="eastAsia" w:ascii="宋体" w:hAnsi="宋体" w:eastAsia="宋体" w:cs="宋体"/>
                <w:color w:val="auto"/>
                <w:sz w:val="21"/>
                <w:szCs w:val="21"/>
              </w:rPr>
            </w:pPr>
          </w:p>
        </w:tc>
      </w:tr>
      <w:tr w14:paraId="6865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3B1A33DA">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485" w:type="pct"/>
            <w:vAlign w:val="center"/>
          </w:tcPr>
          <w:p w14:paraId="1878595B">
            <w:pPr>
              <w:jc w:val="center"/>
              <w:rPr>
                <w:rFonts w:hint="eastAsia" w:ascii="宋体" w:hAnsi="宋体" w:eastAsia="宋体" w:cs="宋体"/>
                <w:color w:val="auto"/>
                <w:sz w:val="21"/>
                <w:szCs w:val="21"/>
              </w:rPr>
            </w:pPr>
          </w:p>
        </w:tc>
        <w:tc>
          <w:tcPr>
            <w:tcW w:w="1285" w:type="pct"/>
          </w:tcPr>
          <w:p w14:paraId="26778BD0">
            <w:pPr>
              <w:jc w:val="center"/>
              <w:rPr>
                <w:rFonts w:hint="eastAsia" w:ascii="宋体" w:hAnsi="宋体" w:eastAsia="宋体" w:cs="宋体"/>
                <w:color w:val="auto"/>
                <w:sz w:val="21"/>
                <w:szCs w:val="21"/>
              </w:rPr>
            </w:pPr>
          </w:p>
        </w:tc>
        <w:tc>
          <w:tcPr>
            <w:tcW w:w="645" w:type="pct"/>
          </w:tcPr>
          <w:p w14:paraId="37579C59">
            <w:pPr>
              <w:jc w:val="center"/>
              <w:rPr>
                <w:rFonts w:hint="eastAsia" w:ascii="宋体" w:hAnsi="宋体" w:eastAsia="宋体" w:cs="宋体"/>
                <w:color w:val="auto"/>
                <w:sz w:val="21"/>
                <w:szCs w:val="21"/>
              </w:rPr>
            </w:pPr>
          </w:p>
        </w:tc>
        <w:tc>
          <w:tcPr>
            <w:tcW w:w="645" w:type="pct"/>
          </w:tcPr>
          <w:p w14:paraId="2E4C35AC">
            <w:pPr>
              <w:jc w:val="center"/>
              <w:rPr>
                <w:rFonts w:hint="eastAsia" w:ascii="宋体" w:hAnsi="宋体" w:eastAsia="宋体" w:cs="宋体"/>
                <w:color w:val="auto"/>
                <w:sz w:val="21"/>
                <w:szCs w:val="21"/>
              </w:rPr>
            </w:pPr>
          </w:p>
        </w:tc>
        <w:tc>
          <w:tcPr>
            <w:tcW w:w="485" w:type="pct"/>
            <w:vAlign w:val="center"/>
          </w:tcPr>
          <w:p w14:paraId="49373FD6">
            <w:pPr>
              <w:jc w:val="center"/>
              <w:rPr>
                <w:rFonts w:hint="eastAsia" w:ascii="宋体" w:hAnsi="宋体" w:eastAsia="宋体" w:cs="宋体"/>
                <w:color w:val="auto"/>
                <w:sz w:val="21"/>
                <w:szCs w:val="21"/>
              </w:rPr>
            </w:pPr>
          </w:p>
        </w:tc>
        <w:tc>
          <w:tcPr>
            <w:tcW w:w="485" w:type="pct"/>
          </w:tcPr>
          <w:p w14:paraId="6FC796C7">
            <w:pPr>
              <w:jc w:val="center"/>
              <w:rPr>
                <w:rFonts w:hint="eastAsia" w:ascii="宋体" w:hAnsi="宋体" w:eastAsia="宋体" w:cs="宋体"/>
                <w:color w:val="auto"/>
                <w:sz w:val="21"/>
                <w:szCs w:val="21"/>
              </w:rPr>
            </w:pPr>
          </w:p>
        </w:tc>
        <w:tc>
          <w:tcPr>
            <w:tcW w:w="485" w:type="pct"/>
          </w:tcPr>
          <w:p w14:paraId="0336D949">
            <w:pPr>
              <w:jc w:val="center"/>
              <w:rPr>
                <w:rFonts w:hint="eastAsia" w:ascii="宋体" w:hAnsi="宋体" w:eastAsia="宋体" w:cs="宋体"/>
                <w:color w:val="auto"/>
                <w:sz w:val="21"/>
                <w:szCs w:val="21"/>
              </w:rPr>
            </w:pPr>
          </w:p>
        </w:tc>
      </w:tr>
      <w:tr w14:paraId="1E24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F540C04">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485" w:type="pct"/>
            <w:vAlign w:val="center"/>
          </w:tcPr>
          <w:p w14:paraId="6689EFCC">
            <w:pPr>
              <w:jc w:val="center"/>
              <w:rPr>
                <w:rFonts w:hint="eastAsia" w:ascii="宋体" w:hAnsi="宋体" w:eastAsia="宋体" w:cs="宋体"/>
                <w:color w:val="auto"/>
                <w:sz w:val="21"/>
                <w:szCs w:val="21"/>
              </w:rPr>
            </w:pPr>
          </w:p>
        </w:tc>
        <w:tc>
          <w:tcPr>
            <w:tcW w:w="1285" w:type="pct"/>
          </w:tcPr>
          <w:p w14:paraId="30CC592E">
            <w:pPr>
              <w:jc w:val="center"/>
              <w:rPr>
                <w:rFonts w:hint="eastAsia" w:ascii="宋体" w:hAnsi="宋体" w:eastAsia="宋体" w:cs="宋体"/>
                <w:color w:val="auto"/>
                <w:sz w:val="21"/>
                <w:szCs w:val="21"/>
              </w:rPr>
            </w:pPr>
          </w:p>
        </w:tc>
        <w:tc>
          <w:tcPr>
            <w:tcW w:w="645" w:type="pct"/>
          </w:tcPr>
          <w:p w14:paraId="4E603035">
            <w:pPr>
              <w:jc w:val="center"/>
              <w:rPr>
                <w:rFonts w:hint="eastAsia" w:ascii="宋体" w:hAnsi="宋体" w:eastAsia="宋体" w:cs="宋体"/>
                <w:color w:val="auto"/>
                <w:sz w:val="21"/>
                <w:szCs w:val="21"/>
              </w:rPr>
            </w:pPr>
          </w:p>
        </w:tc>
        <w:tc>
          <w:tcPr>
            <w:tcW w:w="645" w:type="pct"/>
          </w:tcPr>
          <w:p w14:paraId="61A99B03">
            <w:pPr>
              <w:jc w:val="center"/>
              <w:rPr>
                <w:rFonts w:hint="eastAsia" w:ascii="宋体" w:hAnsi="宋体" w:eastAsia="宋体" w:cs="宋体"/>
                <w:color w:val="auto"/>
                <w:sz w:val="21"/>
                <w:szCs w:val="21"/>
              </w:rPr>
            </w:pPr>
          </w:p>
        </w:tc>
        <w:tc>
          <w:tcPr>
            <w:tcW w:w="485" w:type="pct"/>
            <w:vAlign w:val="center"/>
          </w:tcPr>
          <w:p w14:paraId="3830FF74">
            <w:pPr>
              <w:jc w:val="center"/>
              <w:rPr>
                <w:rFonts w:hint="eastAsia" w:ascii="宋体" w:hAnsi="宋体" w:eastAsia="宋体" w:cs="宋体"/>
                <w:color w:val="auto"/>
                <w:sz w:val="21"/>
                <w:szCs w:val="21"/>
              </w:rPr>
            </w:pPr>
          </w:p>
        </w:tc>
        <w:tc>
          <w:tcPr>
            <w:tcW w:w="485" w:type="pct"/>
          </w:tcPr>
          <w:p w14:paraId="7B2AB42F">
            <w:pPr>
              <w:jc w:val="center"/>
              <w:rPr>
                <w:rFonts w:hint="eastAsia" w:ascii="宋体" w:hAnsi="宋体" w:eastAsia="宋体" w:cs="宋体"/>
                <w:color w:val="auto"/>
                <w:sz w:val="21"/>
                <w:szCs w:val="21"/>
              </w:rPr>
            </w:pPr>
          </w:p>
        </w:tc>
        <w:tc>
          <w:tcPr>
            <w:tcW w:w="485" w:type="pct"/>
          </w:tcPr>
          <w:p w14:paraId="1CA87D0A">
            <w:pPr>
              <w:jc w:val="center"/>
              <w:rPr>
                <w:rFonts w:hint="eastAsia" w:ascii="宋体" w:hAnsi="宋体" w:eastAsia="宋体" w:cs="宋体"/>
                <w:color w:val="auto"/>
                <w:sz w:val="21"/>
                <w:szCs w:val="21"/>
              </w:rPr>
            </w:pPr>
          </w:p>
        </w:tc>
      </w:tr>
      <w:tr w14:paraId="7740A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091B13E8">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485" w:type="pct"/>
            <w:vAlign w:val="center"/>
          </w:tcPr>
          <w:p w14:paraId="28B48E29">
            <w:pPr>
              <w:jc w:val="center"/>
              <w:rPr>
                <w:rFonts w:hint="eastAsia" w:ascii="宋体" w:hAnsi="宋体" w:eastAsia="宋体" w:cs="宋体"/>
                <w:color w:val="auto"/>
                <w:sz w:val="21"/>
                <w:szCs w:val="21"/>
              </w:rPr>
            </w:pPr>
          </w:p>
        </w:tc>
        <w:tc>
          <w:tcPr>
            <w:tcW w:w="1285" w:type="pct"/>
          </w:tcPr>
          <w:p w14:paraId="5FE663D3">
            <w:pPr>
              <w:jc w:val="center"/>
              <w:rPr>
                <w:rFonts w:hint="eastAsia" w:ascii="宋体" w:hAnsi="宋体" w:eastAsia="宋体" w:cs="宋体"/>
                <w:color w:val="auto"/>
                <w:sz w:val="21"/>
                <w:szCs w:val="21"/>
              </w:rPr>
            </w:pPr>
          </w:p>
        </w:tc>
        <w:tc>
          <w:tcPr>
            <w:tcW w:w="645" w:type="pct"/>
          </w:tcPr>
          <w:p w14:paraId="08521CD7">
            <w:pPr>
              <w:jc w:val="center"/>
              <w:rPr>
                <w:rFonts w:hint="eastAsia" w:ascii="宋体" w:hAnsi="宋体" w:eastAsia="宋体" w:cs="宋体"/>
                <w:color w:val="auto"/>
                <w:sz w:val="21"/>
                <w:szCs w:val="21"/>
              </w:rPr>
            </w:pPr>
          </w:p>
        </w:tc>
        <w:tc>
          <w:tcPr>
            <w:tcW w:w="645" w:type="pct"/>
          </w:tcPr>
          <w:p w14:paraId="742D17E8">
            <w:pPr>
              <w:jc w:val="center"/>
              <w:rPr>
                <w:rFonts w:hint="eastAsia" w:ascii="宋体" w:hAnsi="宋体" w:eastAsia="宋体" w:cs="宋体"/>
                <w:color w:val="auto"/>
                <w:sz w:val="21"/>
                <w:szCs w:val="21"/>
              </w:rPr>
            </w:pPr>
          </w:p>
        </w:tc>
        <w:tc>
          <w:tcPr>
            <w:tcW w:w="485" w:type="pct"/>
            <w:vAlign w:val="center"/>
          </w:tcPr>
          <w:p w14:paraId="2880D8A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485" w:type="pct"/>
          </w:tcPr>
          <w:p w14:paraId="30C4DD0C">
            <w:pPr>
              <w:jc w:val="center"/>
              <w:rPr>
                <w:rFonts w:hint="eastAsia" w:ascii="宋体" w:hAnsi="宋体" w:eastAsia="宋体" w:cs="宋体"/>
                <w:color w:val="auto"/>
                <w:sz w:val="21"/>
                <w:szCs w:val="21"/>
              </w:rPr>
            </w:pPr>
          </w:p>
        </w:tc>
        <w:tc>
          <w:tcPr>
            <w:tcW w:w="485" w:type="pct"/>
          </w:tcPr>
          <w:p w14:paraId="002C3541">
            <w:pPr>
              <w:jc w:val="center"/>
              <w:rPr>
                <w:rFonts w:hint="eastAsia" w:ascii="宋体" w:hAnsi="宋体" w:eastAsia="宋体" w:cs="宋体"/>
                <w:color w:val="auto"/>
                <w:sz w:val="21"/>
                <w:szCs w:val="21"/>
              </w:rPr>
            </w:pPr>
          </w:p>
        </w:tc>
      </w:tr>
      <w:tr w14:paraId="5571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29CEF9F">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485" w:type="pct"/>
            <w:vAlign w:val="center"/>
          </w:tcPr>
          <w:p w14:paraId="7AEB0FDD">
            <w:pPr>
              <w:jc w:val="center"/>
              <w:rPr>
                <w:rFonts w:hint="eastAsia" w:ascii="宋体" w:hAnsi="宋体" w:eastAsia="宋体" w:cs="宋体"/>
                <w:color w:val="auto"/>
                <w:sz w:val="21"/>
                <w:szCs w:val="21"/>
              </w:rPr>
            </w:pPr>
          </w:p>
        </w:tc>
        <w:tc>
          <w:tcPr>
            <w:tcW w:w="1285" w:type="pct"/>
          </w:tcPr>
          <w:p w14:paraId="69400078">
            <w:pPr>
              <w:jc w:val="center"/>
              <w:rPr>
                <w:rFonts w:hint="eastAsia" w:ascii="宋体" w:hAnsi="宋体" w:eastAsia="宋体" w:cs="宋体"/>
                <w:color w:val="auto"/>
                <w:sz w:val="21"/>
                <w:szCs w:val="21"/>
              </w:rPr>
            </w:pPr>
          </w:p>
        </w:tc>
        <w:tc>
          <w:tcPr>
            <w:tcW w:w="645" w:type="pct"/>
          </w:tcPr>
          <w:p w14:paraId="55145535">
            <w:pPr>
              <w:jc w:val="center"/>
              <w:rPr>
                <w:rFonts w:hint="eastAsia" w:ascii="宋体" w:hAnsi="宋体" w:eastAsia="宋体" w:cs="宋体"/>
                <w:color w:val="auto"/>
                <w:sz w:val="21"/>
                <w:szCs w:val="21"/>
              </w:rPr>
            </w:pPr>
          </w:p>
        </w:tc>
        <w:tc>
          <w:tcPr>
            <w:tcW w:w="645" w:type="pct"/>
          </w:tcPr>
          <w:p w14:paraId="3B6F7B2C">
            <w:pPr>
              <w:jc w:val="center"/>
              <w:rPr>
                <w:rFonts w:hint="eastAsia" w:ascii="宋体" w:hAnsi="宋体" w:eastAsia="宋体" w:cs="宋体"/>
                <w:color w:val="auto"/>
                <w:sz w:val="21"/>
                <w:szCs w:val="21"/>
              </w:rPr>
            </w:pPr>
          </w:p>
        </w:tc>
        <w:tc>
          <w:tcPr>
            <w:tcW w:w="485" w:type="pct"/>
            <w:vAlign w:val="center"/>
          </w:tcPr>
          <w:p w14:paraId="1E5D059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485" w:type="pct"/>
          </w:tcPr>
          <w:p w14:paraId="0A36B914">
            <w:pPr>
              <w:jc w:val="center"/>
              <w:rPr>
                <w:rFonts w:hint="eastAsia" w:ascii="宋体" w:hAnsi="宋体" w:eastAsia="宋体" w:cs="宋体"/>
                <w:color w:val="auto"/>
                <w:sz w:val="21"/>
                <w:szCs w:val="21"/>
              </w:rPr>
            </w:pPr>
          </w:p>
        </w:tc>
        <w:tc>
          <w:tcPr>
            <w:tcW w:w="485" w:type="pct"/>
          </w:tcPr>
          <w:p w14:paraId="644617CB">
            <w:pPr>
              <w:jc w:val="center"/>
              <w:rPr>
                <w:rFonts w:hint="eastAsia" w:ascii="宋体" w:hAnsi="宋体" w:eastAsia="宋体" w:cs="宋体"/>
                <w:color w:val="auto"/>
                <w:sz w:val="21"/>
                <w:szCs w:val="21"/>
              </w:rPr>
            </w:pPr>
          </w:p>
        </w:tc>
      </w:tr>
      <w:tr w14:paraId="5248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5A743E7">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485" w:type="pct"/>
            <w:vAlign w:val="center"/>
          </w:tcPr>
          <w:p w14:paraId="65DA9691">
            <w:pPr>
              <w:jc w:val="center"/>
              <w:rPr>
                <w:rFonts w:hint="eastAsia" w:ascii="宋体" w:hAnsi="宋体" w:eastAsia="宋体" w:cs="宋体"/>
                <w:color w:val="auto"/>
                <w:sz w:val="21"/>
                <w:szCs w:val="21"/>
              </w:rPr>
            </w:pPr>
          </w:p>
        </w:tc>
        <w:tc>
          <w:tcPr>
            <w:tcW w:w="1285" w:type="pct"/>
          </w:tcPr>
          <w:p w14:paraId="1165F816">
            <w:pPr>
              <w:jc w:val="center"/>
              <w:rPr>
                <w:rFonts w:hint="eastAsia" w:ascii="宋体" w:hAnsi="宋体" w:eastAsia="宋体" w:cs="宋体"/>
                <w:color w:val="auto"/>
                <w:sz w:val="21"/>
                <w:szCs w:val="21"/>
              </w:rPr>
            </w:pPr>
          </w:p>
        </w:tc>
        <w:tc>
          <w:tcPr>
            <w:tcW w:w="645" w:type="pct"/>
          </w:tcPr>
          <w:p w14:paraId="22606057">
            <w:pPr>
              <w:jc w:val="center"/>
              <w:rPr>
                <w:rFonts w:hint="eastAsia" w:ascii="宋体" w:hAnsi="宋体" w:eastAsia="宋体" w:cs="宋体"/>
                <w:color w:val="auto"/>
                <w:sz w:val="21"/>
                <w:szCs w:val="21"/>
              </w:rPr>
            </w:pPr>
          </w:p>
        </w:tc>
        <w:tc>
          <w:tcPr>
            <w:tcW w:w="645" w:type="pct"/>
          </w:tcPr>
          <w:p w14:paraId="5D84FDD8">
            <w:pPr>
              <w:jc w:val="center"/>
              <w:rPr>
                <w:rFonts w:hint="eastAsia" w:ascii="宋体" w:hAnsi="宋体" w:eastAsia="宋体" w:cs="宋体"/>
                <w:color w:val="auto"/>
                <w:sz w:val="21"/>
                <w:szCs w:val="21"/>
              </w:rPr>
            </w:pPr>
          </w:p>
        </w:tc>
        <w:tc>
          <w:tcPr>
            <w:tcW w:w="485" w:type="pct"/>
            <w:vAlign w:val="center"/>
          </w:tcPr>
          <w:p w14:paraId="254E7F1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485" w:type="pct"/>
          </w:tcPr>
          <w:p w14:paraId="681A1B70">
            <w:pPr>
              <w:jc w:val="center"/>
              <w:rPr>
                <w:rFonts w:hint="eastAsia" w:ascii="宋体" w:hAnsi="宋体" w:eastAsia="宋体" w:cs="宋体"/>
                <w:color w:val="auto"/>
                <w:sz w:val="21"/>
                <w:szCs w:val="21"/>
              </w:rPr>
            </w:pPr>
          </w:p>
        </w:tc>
        <w:tc>
          <w:tcPr>
            <w:tcW w:w="485" w:type="pct"/>
          </w:tcPr>
          <w:p w14:paraId="2F32891C">
            <w:pPr>
              <w:jc w:val="center"/>
              <w:rPr>
                <w:rFonts w:hint="eastAsia" w:ascii="宋体" w:hAnsi="宋体" w:eastAsia="宋体" w:cs="宋体"/>
                <w:color w:val="auto"/>
                <w:sz w:val="21"/>
                <w:szCs w:val="21"/>
              </w:rPr>
            </w:pPr>
          </w:p>
        </w:tc>
      </w:tr>
      <w:tr w14:paraId="5F986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4BE4B452">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485" w:type="pct"/>
            <w:vAlign w:val="center"/>
          </w:tcPr>
          <w:p w14:paraId="197494E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1285" w:type="pct"/>
          </w:tcPr>
          <w:p w14:paraId="2C649DDF">
            <w:pPr>
              <w:jc w:val="center"/>
              <w:rPr>
                <w:rFonts w:hint="eastAsia" w:ascii="宋体" w:hAnsi="宋体" w:eastAsia="宋体" w:cs="宋体"/>
                <w:color w:val="auto"/>
                <w:sz w:val="21"/>
                <w:szCs w:val="21"/>
              </w:rPr>
            </w:pPr>
          </w:p>
        </w:tc>
        <w:tc>
          <w:tcPr>
            <w:tcW w:w="645" w:type="pct"/>
          </w:tcPr>
          <w:p w14:paraId="7693F90A">
            <w:pPr>
              <w:jc w:val="center"/>
              <w:rPr>
                <w:rFonts w:hint="eastAsia" w:ascii="宋体" w:hAnsi="宋体" w:eastAsia="宋体" w:cs="宋体"/>
                <w:color w:val="auto"/>
                <w:sz w:val="21"/>
                <w:szCs w:val="21"/>
              </w:rPr>
            </w:pPr>
          </w:p>
        </w:tc>
        <w:tc>
          <w:tcPr>
            <w:tcW w:w="645" w:type="pct"/>
          </w:tcPr>
          <w:p w14:paraId="2C9D9B6A">
            <w:pPr>
              <w:jc w:val="center"/>
              <w:rPr>
                <w:rFonts w:hint="eastAsia" w:ascii="宋体" w:hAnsi="宋体" w:eastAsia="宋体" w:cs="宋体"/>
                <w:color w:val="auto"/>
                <w:sz w:val="21"/>
                <w:szCs w:val="21"/>
              </w:rPr>
            </w:pPr>
          </w:p>
        </w:tc>
        <w:tc>
          <w:tcPr>
            <w:tcW w:w="485" w:type="pct"/>
            <w:vAlign w:val="center"/>
          </w:tcPr>
          <w:p w14:paraId="3625E90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485" w:type="pct"/>
          </w:tcPr>
          <w:p w14:paraId="50965DAC">
            <w:pPr>
              <w:jc w:val="center"/>
              <w:rPr>
                <w:rFonts w:hint="eastAsia" w:ascii="宋体" w:hAnsi="宋体" w:eastAsia="宋体" w:cs="宋体"/>
                <w:color w:val="auto"/>
                <w:sz w:val="21"/>
                <w:szCs w:val="21"/>
              </w:rPr>
            </w:pPr>
          </w:p>
        </w:tc>
        <w:tc>
          <w:tcPr>
            <w:tcW w:w="485" w:type="pct"/>
          </w:tcPr>
          <w:p w14:paraId="7F06F884">
            <w:pPr>
              <w:jc w:val="center"/>
              <w:rPr>
                <w:rFonts w:hint="eastAsia" w:ascii="宋体" w:hAnsi="宋体" w:eastAsia="宋体" w:cs="宋体"/>
                <w:color w:val="auto"/>
                <w:sz w:val="21"/>
                <w:szCs w:val="21"/>
              </w:rPr>
            </w:pPr>
          </w:p>
        </w:tc>
      </w:tr>
      <w:tr w14:paraId="491B8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D2DC1D4">
            <w:pPr>
              <w:pStyle w:val="23"/>
              <w:spacing w:line="240" w:lineRule="auto"/>
              <w:ind w:left="0"/>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485" w:type="pct"/>
            <w:vAlign w:val="center"/>
          </w:tcPr>
          <w:p w14:paraId="215DE119">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总计</w:t>
            </w:r>
          </w:p>
        </w:tc>
        <w:tc>
          <w:tcPr>
            <w:tcW w:w="4030" w:type="pct"/>
            <w:gridSpan w:val="6"/>
          </w:tcPr>
          <w:p w14:paraId="367CD481">
            <w:pPr>
              <w:rPr>
                <w:rFonts w:hint="eastAsia" w:ascii="宋体" w:hAnsi="宋体" w:eastAsia="宋体" w:cs="宋体"/>
                <w:color w:val="auto"/>
                <w:sz w:val="21"/>
                <w:szCs w:val="21"/>
              </w:rPr>
            </w:pPr>
          </w:p>
        </w:tc>
      </w:tr>
    </w:tbl>
    <w:p w14:paraId="642E481C">
      <w:pPr>
        <w:spacing w:line="500" w:lineRule="exact"/>
        <w:ind w:firstLine="480" w:firstLineChars="200"/>
        <w:rPr>
          <w:rFonts w:hint="eastAsia" w:ascii="宋体" w:hAnsi="宋体" w:eastAsia="宋体" w:cs="宋体"/>
          <w:color w:val="auto"/>
          <w:sz w:val="24"/>
          <w:szCs w:val="28"/>
        </w:rPr>
      </w:pPr>
    </w:p>
    <w:p w14:paraId="786BFD10">
      <w:pPr>
        <w:spacing w:line="500" w:lineRule="exact"/>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投标人：                       法定代表人（或法定代表人授权代表）或自然人：</w:t>
      </w:r>
    </w:p>
    <w:p w14:paraId="04D7E73B">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（投标人公章）                               （签署或盖章）</w:t>
      </w:r>
    </w:p>
    <w:p w14:paraId="5B5D4116">
      <w:pPr>
        <w:spacing w:line="500" w:lineRule="exact"/>
        <w:rPr>
          <w:rFonts w:hint="eastAsia" w:ascii="宋体" w:hAnsi="宋体" w:eastAsia="宋体" w:cs="宋体"/>
          <w:color w:val="auto"/>
          <w:sz w:val="24"/>
          <w:szCs w:val="28"/>
        </w:rPr>
      </w:pPr>
    </w:p>
    <w:p w14:paraId="4BFF1D53">
      <w:pPr>
        <w:spacing w:line="500" w:lineRule="exact"/>
        <w:rPr>
          <w:rFonts w:hint="eastAsia" w:ascii="宋体" w:hAnsi="宋体" w:eastAsia="宋体" w:cs="宋体"/>
          <w:color w:val="auto"/>
          <w:sz w:val="24"/>
          <w:szCs w:val="28"/>
        </w:rPr>
      </w:pPr>
    </w:p>
    <w:p w14:paraId="4E122200">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54AC031B">
      <w:pPr>
        <w:snapToGrid w:val="0"/>
        <w:spacing w:line="500" w:lineRule="exact"/>
        <w:ind w:firstLine="480" w:firstLineChars="200"/>
        <w:rPr>
          <w:rFonts w:hint="eastAsia" w:ascii="宋体" w:hAnsi="宋体" w:eastAsia="宋体" w:cs="宋体"/>
          <w:color w:val="auto"/>
          <w:sz w:val="24"/>
          <w:szCs w:val="28"/>
        </w:rPr>
      </w:pPr>
    </w:p>
    <w:p w14:paraId="2D5BA848">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注：</w:t>
      </w:r>
    </w:p>
    <w:p w14:paraId="237047D2">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1.请投标人完整填写本表；</w:t>
      </w:r>
    </w:p>
    <w:p w14:paraId="6B0FEFB0">
      <w:pPr>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2.该表可扩展。</w:t>
      </w:r>
    </w:p>
    <w:p w14:paraId="513DC638">
      <w:pPr>
        <w:snapToGrid w:val="0"/>
        <w:spacing w:line="500" w:lineRule="exact"/>
        <w:ind w:firstLine="480" w:firstLineChars="200"/>
        <w:rPr>
          <w:rFonts w:hint="eastAsia" w:ascii="宋体" w:hAnsi="宋体" w:eastAsia="宋体" w:cs="宋体"/>
          <w:color w:val="auto"/>
          <w:sz w:val="24"/>
          <w:szCs w:val="28"/>
        </w:rPr>
      </w:pPr>
    </w:p>
    <w:p w14:paraId="776C3007">
      <w:pPr>
        <w:pStyle w:val="3"/>
        <w:pageBreakBefore/>
        <w:spacing w:line="500" w:lineRule="exact"/>
        <w:ind w:firstLine="562" w:firstLineChars="200"/>
        <w:rPr>
          <w:rFonts w:hint="eastAsia" w:ascii="宋体" w:hAnsi="宋体" w:eastAsia="宋体" w:cs="宋体"/>
          <w:b/>
          <w:color w:val="auto"/>
          <w:szCs w:val="28"/>
        </w:rPr>
      </w:pPr>
      <w:bookmarkStart w:id="808" w:name="_Toc23774"/>
      <w:bookmarkStart w:id="809" w:name="_Toc12593"/>
      <w:bookmarkStart w:id="810" w:name="_Toc15573"/>
      <w:bookmarkStart w:id="811" w:name="_Toc15891"/>
      <w:bookmarkStart w:id="812" w:name="_Toc21779"/>
      <w:bookmarkStart w:id="813" w:name="_Toc3224"/>
      <w:bookmarkStart w:id="814" w:name="_Toc12437"/>
      <w:bookmarkStart w:id="815" w:name="_Toc75793541"/>
      <w:bookmarkStart w:id="816" w:name="_Toc13820"/>
      <w:bookmarkStart w:id="817" w:name="_Toc29441"/>
      <w:bookmarkStart w:id="818" w:name="_Toc3836"/>
      <w:bookmarkStart w:id="819" w:name="_Toc5166"/>
      <w:bookmarkStart w:id="820" w:name="_Toc1842"/>
      <w:bookmarkStart w:id="821" w:name="_Toc2386"/>
      <w:bookmarkStart w:id="822" w:name="_Toc26723"/>
      <w:bookmarkStart w:id="823" w:name="_Toc493178790"/>
      <w:bookmarkStart w:id="824" w:name="_Toc11188"/>
      <w:bookmarkStart w:id="825" w:name="_Toc21203"/>
      <w:bookmarkStart w:id="826" w:name="_Toc7244"/>
      <w:bookmarkStart w:id="827" w:name="_Toc31344"/>
      <w:bookmarkStart w:id="828" w:name="_Toc14980"/>
      <w:bookmarkStart w:id="829" w:name="_Toc2784"/>
      <w:r>
        <w:rPr>
          <w:rFonts w:hint="eastAsia" w:ascii="宋体" w:hAnsi="宋体" w:eastAsia="宋体" w:cs="宋体"/>
          <w:b/>
          <w:color w:val="auto"/>
          <w:szCs w:val="28"/>
        </w:rPr>
        <w:t>二、技术（质量）文件</w:t>
      </w:r>
      <w:bookmarkEnd w:id="808"/>
      <w:bookmarkEnd w:id="809"/>
      <w:bookmarkEnd w:id="810"/>
      <w:bookmarkEnd w:id="811"/>
      <w:bookmarkEnd w:id="812"/>
      <w:bookmarkEnd w:id="813"/>
      <w:bookmarkEnd w:id="814"/>
    </w:p>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14:paraId="68743299">
      <w:pPr>
        <w:ind w:firstLine="480"/>
        <w:jc w:val="left"/>
        <w:rPr>
          <w:rFonts w:hint="eastAsia" w:ascii="宋体" w:hAnsi="宋体" w:eastAsia="宋体" w:cs="宋体"/>
          <w:b/>
          <w:color w:val="auto"/>
          <w:szCs w:val="28"/>
        </w:rPr>
      </w:pPr>
    </w:p>
    <w:p w14:paraId="53F7E1B2">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（一）技术（质量）条款差异表</w:t>
      </w:r>
    </w:p>
    <w:p w14:paraId="1948E942">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项目号：</w:t>
      </w:r>
    </w:p>
    <w:p w14:paraId="7AA4BD37">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招标项目名称：</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0444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6AE9CCDA">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542" w:type="pct"/>
            <w:vAlign w:val="center"/>
          </w:tcPr>
          <w:p w14:paraId="4B18CDD2">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招标要求</w:t>
            </w:r>
          </w:p>
        </w:tc>
        <w:tc>
          <w:tcPr>
            <w:tcW w:w="1600" w:type="pct"/>
            <w:vAlign w:val="center"/>
          </w:tcPr>
          <w:p w14:paraId="0754F86F">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投标应答</w:t>
            </w:r>
          </w:p>
        </w:tc>
        <w:tc>
          <w:tcPr>
            <w:tcW w:w="1199" w:type="pct"/>
            <w:vAlign w:val="center"/>
          </w:tcPr>
          <w:p w14:paraId="7DC8D574">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差异说明</w:t>
            </w:r>
          </w:p>
        </w:tc>
      </w:tr>
      <w:tr w14:paraId="6681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9388D0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7E6BE8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0287A531">
            <w:pPr>
              <w:tabs>
                <w:tab w:val="left" w:pos="6300"/>
              </w:tabs>
              <w:snapToGrid w:val="0"/>
              <w:spacing w:line="500" w:lineRule="exact"/>
              <w:outlineLvl w:val="0"/>
              <w:rPr>
                <w:rFonts w:hint="eastAsia" w:ascii="宋体" w:hAnsi="宋体" w:eastAsia="宋体" w:cs="宋体"/>
                <w:color w:val="auto"/>
                <w:sz w:val="21"/>
                <w:szCs w:val="21"/>
              </w:rPr>
            </w:pPr>
            <w:r>
              <w:rPr>
                <w:rFonts w:hint="eastAsia" w:ascii="宋体" w:hAnsi="宋体" w:eastAsia="宋体" w:cs="宋体"/>
                <w:color w:val="auto"/>
                <w:sz w:val="21"/>
                <w:szCs w:val="21"/>
              </w:rPr>
              <w:t>提醒：请注明技术参数或具体内容以及投标文件中技术参数或具体内容的位置（页码）</w:t>
            </w:r>
          </w:p>
        </w:tc>
        <w:tc>
          <w:tcPr>
            <w:tcW w:w="1199" w:type="pct"/>
            <w:vAlign w:val="center"/>
          </w:tcPr>
          <w:p w14:paraId="6FC14B14">
            <w:pPr>
              <w:tabs>
                <w:tab w:val="left" w:pos="6300"/>
              </w:tabs>
              <w:snapToGrid w:val="0"/>
              <w:spacing w:line="500" w:lineRule="exact"/>
              <w:jc w:val="center"/>
              <w:outlineLvl w:val="0"/>
              <w:rPr>
                <w:rFonts w:hint="eastAsia" w:ascii="宋体" w:hAnsi="宋体" w:eastAsia="宋体" w:cs="宋体"/>
                <w:color w:val="auto"/>
                <w:sz w:val="21"/>
                <w:szCs w:val="21"/>
              </w:rPr>
            </w:pPr>
          </w:p>
        </w:tc>
      </w:tr>
      <w:tr w14:paraId="52726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46A7537">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11ED5A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58DB2952">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7D1E86C3">
            <w:pPr>
              <w:tabs>
                <w:tab w:val="left" w:pos="6300"/>
              </w:tabs>
              <w:snapToGrid w:val="0"/>
              <w:spacing w:line="500" w:lineRule="exact"/>
              <w:jc w:val="center"/>
              <w:outlineLvl w:val="0"/>
              <w:rPr>
                <w:rFonts w:hint="eastAsia" w:ascii="宋体" w:hAnsi="宋体" w:eastAsia="宋体" w:cs="宋体"/>
                <w:color w:val="auto"/>
                <w:sz w:val="21"/>
                <w:szCs w:val="21"/>
              </w:rPr>
            </w:pPr>
          </w:p>
        </w:tc>
      </w:tr>
      <w:tr w14:paraId="44C6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26D6390">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A7BF9C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53CA6F3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7B920ECF">
            <w:pPr>
              <w:tabs>
                <w:tab w:val="left" w:pos="6300"/>
              </w:tabs>
              <w:snapToGrid w:val="0"/>
              <w:spacing w:line="500" w:lineRule="exact"/>
              <w:jc w:val="center"/>
              <w:outlineLvl w:val="0"/>
              <w:rPr>
                <w:rFonts w:hint="eastAsia" w:ascii="宋体" w:hAnsi="宋体" w:eastAsia="宋体" w:cs="宋体"/>
                <w:color w:val="auto"/>
                <w:sz w:val="21"/>
                <w:szCs w:val="21"/>
              </w:rPr>
            </w:pPr>
          </w:p>
        </w:tc>
      </w:tr>
      <w:tr w14:paraId="20238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248F5B2">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601BF5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2820831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71E0BE6A">
            <w:pPr>
              <w:tabs>
                <w:tab w:val="left" w:pos="6300"/>
              </w:tabs>
              <w:snapToGrid w:val="0"/>
              <w:spacing w:line="500" w:lineRule="exact"/>
              <w:jc w:val="center"/>
              <w:outlineLvl w:val="0"/>
              <w:rPr>
                <w:rFonts w:hint="eastAsia" w:ascii="宋体" w:hAnsi="宋体" w:eastAsia="宋体" w:cs="宋体"/>
                <w:color w:val="auto"/>
                <w:sz w:val="21"/>
                <w:szCs w:val="21"/>
              </w:rPr>
            </w:pPr>
          </w:p>
        </w:tc>
      </w:tr>
      <w:tr w14:paraId="524F2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E4EB7A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77AA06C">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30332A7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BF19559">
            <w:pPr>
              <w:tabs>
                <w:tab w:val="left" w:pos="6300"/>
              </w:tabs>
              <w:snapToGrid w:val="0"/>
              <w:spacing w:line="500" w:lineRule="exact"/>
              <w:jc w:val="center"/>
              <w:outlineLvl w:val="0"/>
              <w:rPr>
                <w:rFonts w:hint="eastAsia" w:ascii="宋体" w:hAnsi="宋体" w:eastAsia="宋体" w:cs="宋体"/>
                <w:color w:val="auto"/>
                <w:sz w:val="21"/>
                <w:szCs w:val="21"/>
              </w:rPr>
            </w:pPr>
          </w:p>
        </w:tc>
      </w:tr>
      <w:tr w14:paraId="55433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CF1DA0E">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07F199D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1C9A94F7">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7ECC8C0">
            <w:pPr>
              <w:tabs>
                <w:tab w:val="left" w:pos="6300"/>
              </w:tabs>
              <w:snapToGrid w:val="0"/>
              <w:spacing w:line="500" w:lineRule="exact"/>
              <w:jc w:val="center"/>
              <w:outlineLvl w:val="0"/>
              <w:rPr>
                <w:rFonts w:hint="eastAsia" w:ascii="宋体" w:hAnsi="宋体" w:eastAsia="宋体" w:cs="宋体"/>
                <w:color w:val="auto"/>
                <w:sz w:val="21"/>
                <w:szCs w:val="21"/>
              </w:rPr>
            </w:pPr>
          </w:p>
        </w:tc>
      </w:tr>
      <w:tr w14:paraId="06F1B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DBD52A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009417D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5716FD3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3B54D2F1">
            <w:pPr>
              <w:tabs>
                <w:tab w:val="left" w:pos="6300"/>
              </w:tabs>
              <w:snapToGrid w:val="0"/>
              <w:spacing w:line="500" w:lineRule="exact"/>
              <w:jc w:val="center"/>
              <w:outlineLvl w:val="0"/>
              <w:rPr>
                <w:rFonts w:hint="eastAsia" w:ascii="宋体" w:hAnsi="宋体" w:eastAsia="宋体" w:cs="宋体"/>
                <w:color w:val="auto"/>
                <w:sz w:val="21"/>
                <w:szCs w:val="21"/>
              </w:rPr>
            </w:pPr>
          </w:p>
        </w:tc>
      </w:tr>
      <w:tr w14:paraId="762E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0A0A10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1356B1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33D9012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5C39BA4">
            <w:pPr>
              <w:tabs>
                <w:tab w:val="left" w:pos="6300"/>
              </w:tabs>
              <w:snapToGrid w:val="0"/>
              <w:spacing w:line="500" w:lineRule="exact"/>
              <w:jc w:val="center"/>
              <w:outlineLvl w:val="0"/>
              <w:rPr>
                <w:rFonts w:hint="eastAsia" w:ascii="宋体" w:hAnsi="宋体" w:eastAsia="宋体" w:cs="宋体"/>
                <w:color w:val="auto"/>
                <w:sz w:val="21"/>
                <w:szCs w:val="21"/>
              </w:rPr>
            </w:pPr>
          </w:p>
        </w:tc>
      </w:tr>
      <w:tr w14:paraId="7F14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351DA67">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58494935">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2A852FB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01EA8E38">
            <w:pPr>
              <w:tabs>
                <w:tab w:val="left" w:pos="6300"/>
              </w:tabs>
              <w:snapToGrid w:val="0"/>
              <w:spacing w:line="500" w:lineRule="exact"/>
              <w:jc w:val="center"/>
              <w:outlineLvl w:val="0"/>
              <w:rPr>
                <w:rFonts w:hint="eastAsia" w:ascii="宋体" w:hAnsi="宋体" w:eastAsia="宋体" w:cs="宋体"/>
                <w:color w:val="auto"/>
                <w:sz w:val="21"/>
                <w:szCs w:val="21"/>
              </w:rPr>
            </w:pPr>
          </w:p>
        </w:tc>
      </w:tr>
      <w:tr w14:paraId="5D66A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5D750A7">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41C7A0F">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7BE96DB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5D2FCF32">
            <w:pPr>
              <w:tabs>
                <w:tab w:val="left" w:pos="6300"/>
              </w:tabs>
              <w:snapToGrid w:val="0"/>
              <w:spacing w:line="500" w:lineRule="exact"/>
              <w:jc w:val="center"/>
              <w:outlineLvl w:val="0"/>
              <w:rPr>
                <w:rFonts w:hint="eastAsia" w:ascii="宋体" w:hAnsi="宋体" w:eastAsia="宋体" w:cs="宋体"/>
                <w:color w:val="auto"/>
                <w:sz w:val="21"/>
                <w:szCs w:val="21"/>
              </w:rPr>
            </w:pPr>
          </w:p>
        </w:tc>
      </w:tr>
    </w:tbl>
    <w:p w14:paraId="722B3187">
      <w:pPr>
        <w:spacing w:line="500" w:lineRule="exact"/>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投标人：                      法定代表人（或法定代表人授权代表）或自然人：</w:t>
      </w:r>
    </w:p>
    <w:p w14:paraId="3D4C28C8">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p>
    <w:p w14:paraId="27E4A0DD">
      <w:pPr>
        <w:spacing w:line="500" w:lineRule="exact"/>
        <w:ind w:firstLine="720" w:firstLineChars="300"/>
        <w:rPr>
          <w:rFonts w:hint="eastAsia" w:ascii="宋体" w:hAnsi="宋体" w:eastAsia="宋体" w:cs="宋体"/>
          <w:color w:val="auto"/>
          <w:sz w:val="24"/>
          <w:szCs w:val="28"/>
        </w:rPr>
      </w:pPr>
      <w:r>
        <w:rPr>
          <w:rFonts w:hint="eastAsia" w:ascii="宋体" w:hAnsi="宋体" w:eastAsia="宋体" w:cs="宋体"/>
          <w:color w:val="auto"/>
          <w:sz w:val="24"/>
          <w:szCs w:val="28"/>
        </w:rPr>
        <w:t>（投标人公章）                               （签署或盖章）</w:t>
      </w:r>
    </w:p>
    <w:p w14:paraId="561D1540">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szCs w:val="28"/>
        </w:rPr>
        <w:t xml:space="preserve">                                            年     月     日</w:t>
      </w:r>
    </w:p>
    <w:p w14:paraId="74AE60B5">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注：</w:t>
      </w:r>
    </w:p>
    <w:p w14:paraId="185E66D5">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1.本表即为对本项目“第二篇  项目技术（质量）需求”中所列条款进行比较和响应；</w:t>
      </w:r>
    </w:p>
    <w:p w14:paraId="6AE93158">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2.本表可扩展；</w:t>
      </w:r>
    </w:p>
    <w:p w14:paraId="7DBC7588">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3.可附相关技术（质量）支撑材料。（格式自定）</w:t>
      </w:r>
    </w:p>
    <w:p w14:paraId="4C20EA1C">
      <w:pPr>
        <w:tabs>
          <w:tab w:val="left" w:pos="6300"/>
        </w:tabs>
        <w:snapToGrid w:val="0"/>
        <w:spacing w:line="500" w:lineRule="exact"/>
        <w:ind w:firstLine="570"/>
        <w:rPr>
          <w:rFonts w:hint="eastAsia" w:ascii="宋体" w:hAnsi="宋体" w:eastAsia="宋体" w:cs="宋体"/>
          <w:color w:val="auto"/>
          <w:sz w:val="24"/>
          <w:szCs w:val="28"/>
        </w:rPr>
      </w:pPr>
      <w:r>
        <w:rPr>
          <w:rFonts w:hint="eastAsia" w:ascii="宋体" w:hAnsi="宋体" w:eastAsia="宋体" w:cs="宋体"/>
          <w:color w:val="auto"/>
          <w:szCs w:val="24"/>
        </w:rPr>
        <w:br w:type="page"/>
      </w:r>
      <w:r>
        <w:rPr>
          <w:rFonts w:hint="eastAsia" w:ascii="宋体" w:hAnsi="宋体" w:eastAsia="宋体" w:cs="宋体"/>
          <w:color w:val="auto"/>
          <w:sz w:val="24"/>
          <w:szCs w:val="28"/>
        </w:rPr>
        <w:t>（二）其他技术（质量）资料</w:t>
      </w:r>
    </w:p>
    <w:p w14:paraId="7CAAF6DA">
      <w:pPr>
        <w:tabs>
          <w:tab w:val="left" w:pos="6300"/>
        </w:tabs>
        <w:snapToGrid w:val="0"/>
        <w:spacing w:line="500" w:lineRule="exact"/>
        <w:ind w:firstLine="570"/>
        <w:rPr>
          <w:rFonts w:hint="eastAsia" w:ascii="宋体" w:hAnsi="宋体" w:eastAsia="宋体" w:cs="宋体"/>
          <w:color w:val="auto"/>
          <w:sz w:val="24"/>
          <w:szCs w:val="28"/>
        </w:rPr>
      </w:pPr>
    </w:p>
    <w:p w14:paraId="45F4912F">
      <w:pPr>
        <w:tabs>
          <w:tab w:val="left" w:pos="6300"/>
        </w:tabs>
        <w:snapToGrid w:val="0"/>
        <w:spacing w:line="500" w:lineRule="exact"/>
        <w:ind w:firstLine="570"/>
        <w:rPr>
          <w:rFonts w:hint="eastAsia" w:ascii="宋体" w:hAnsi="宋体" w:eastAsia="宋体" w:cs="宋体"/>
          <w:color w:val="auto"/>
          <w:sz w:val="24"/>
          <w:szCs w:val="28"/>
        </w:rPr>
      </w:pPr>
    </w:p>
    <w:p w14:paraId="10C4052F">
      <w:pPr>
        <w:tabs>
          <w:tab w:val="left" w:pos="6300"/>
        </w:tabs>
        <w:snapToGrid w:val="0"/>
        <w:spacing w:line="500" w:lineRule="exact"/>
        <w:ind w:firstLine="570"/>
        <w:rPr>
          <w:rFonts w:hint="eastAsia" w:ascii="宋体" w:hAnsi="宋体" w:eastAsia="宋体" w:cs="宋体"/>
          <w:color w:val="auto"/>
          <w:sz w:val="24"/>
          <w:szCs w:val="28"/>
        </w:rPr>
      </w:pPr>
    </w:p>
    <w:p w14:paraId="42478B51">
      <w:pPr>
        <w:tabs>
          <w:tab w:val="left" w:pos="6300"/>
        </w:tabs>
        <w:snapToGrid w:val="0"/>
        <w:spacing w:line="500" w:lineRule="exact"/>
        <w:ind w:firstLine="570"/>
        <w:rPr>
          <w:rFonts w:hint="eastAsia" w:ascii="宋体" w:hAnsi="宋体" w:eastAsia="宋体" w:cs="宋体"/>
          <w:color w:val="auto"/>
          <w:sz w:val="24"/>
          <w:szCs w:val="28"/>
        </w:rPr>
      </w:pPr>
    </w:p>
    <w:p w14:paraId="393908C9">
      <w:pPr>
        <w:tabs>
          <w:tab w:val="left" w:pos="6300"/>
        </w:tabs>
        <w:snapToGrid w:val="0"/>
        <w:spacing w:line="500" w:lineRule="exact"/>
        <w:ind w:firstLine="570"/>
        <w:rPr>
          <w:rFonts w:hint="eastAsia" w:ascii="宋体" w:hAnsi="宋体" w:eastAsia="宋体" w:cs="宋体"/>
          <w:color w:val="auto"/>
          <w:sz w:val="24"/>
          <w:szCs w:val="28"/>
        </w:rPr>
      </w:pPr>
    </w:p>
    <w:p w14:paraId="139F1291">
      <w:pPr>
        <w:tabs>
          <w:tab w:val="left" w:pos="6300"/>
        </w:tabs>
        <w:snapToGrid w:val="0"/>
        <w:spacing w:line="500" w:lineRule="exact"/>
        <w:ind w:firstLine="570"/>
        <w:rPr>
          <w:rFonts w:hint="eastAsia" w:ascii="宋体" w:hAnsi="宋体" w:eastAsia="宋体" w:cs="宋体"/>
          <w:color w:val="auto"/>
          <w:sz w:val="24"/>
          <w:szCs w:val="28"/>
        </w:rPr>
      </w:pPr>
    </w:p>
    <w:p w14:paraId="4EA2223C">
      <w:pPr>
        <w:tabs>
          <w:tab w:val="left" w:pos="6300"/>
        </w:tabs>
        <w:snapToGrid w:val="0"/>
        <w:spacing w:line="500" w:lineRule="exact"/>
        <w:ind w:firstLine="570"/>
        <w:rPr>
          <w:rFonts w:hint="eastAsia" w:ascii="宋体" w:hAnsi="宋体" w:eastAsia="宋体" w:cs="宋体"/>
          <w:color w:val="auto"/>
          <w:sz w:val="24"/>
          <w:szCs w:val="28"/>
        </w:rPr>
      </w:pPr>
    </w:p>
    <w:p w14:paraId="3AA2DDC0">
      <w:pPr>
        <w:tabs>
          <w:tab w:val="left" w:pos="6300"/>
        </w:tabs>
        <w:snapToGrid w:val="0"/>
        <w:spacing w:line="500" w:lineRule="exact"/>
        <w:ind w:firstLine="570"/>
        <w:rPr>
          <w:rFonts w:hint="eastAsia" w:ascii="宋体" w:hAnsi="宋体" w:eastAsia="宋体" w:cs="宋体"/>
          <w:color w:val="auto"/>
          <w:sz w:val="24"/>
          <w:szCs w:val="28"/>
        </w:rPr>
      </w:pPr>
    </w:p>
    <w:p w14:paraId="7EAD5671">
      <w:pPr>
        <w:tabs>
          <w:tab w:val="left" w:pos="6300"/>
        </w:tabs>
        <w:snapToGrid w:val="0"/>
        <w:spacing w:line="500" w:lineRule="exact"/>
        <w:ind w:firstLine="570"/>
        <w:rPr>
          <w:rFonts w:hint="eastAsia" w:ascii="宋体" w:hAnsi="宋体" w:eastAsia="宋体" w:cs="宋体"/>
          <w:color w:val="auto"/>
          <w:sz w:val="24"/>
          <w:szCs w:val="28"/>
        </w:rPr>
      </w:pPr>
    </w:p>
    <w:p w14:paraId="656934E3">
      <w:pPr>
        <w:tabs>
          <w:tab w:val="left" w:pos="6300"/>
        </w:tabs>
        <w:snapToGrid w:val="0"/>
        <w:spacing w:line="500" w:lineRule="exact"/>
        <w:ind w:firstLine="570"/>
        <w:rPr>
          <w:rFonts w:hint="eastAsia" w:ascii="宋体" w:hAnsi="宋体" w:eastAsia="宋体" w:cs="宋体"/>
          <w:color w:val="auto"/>
          <w:sz w:val="24"/>
          <w:szCs w:val="28"/>
        </w:rPr>
      </w:pPr>
    </w:p>
    <w:p w14:paraId="528DF726">
      <w:pPr>
        <w:tabs>
          <w:tab w:val="left" w:pos="6300"/>
        </w:tabs>
        <w:snapToGrid w:val="0"/>
        <w:spacing w:line="500" w:lineRule="exact"/>
        <w:ind w:firstLine="570"/>
        <w:rPr>
          <w:rFonts w:hint="eastAsia" w:ascii="宋体" w:hAnsi="宋体" w:eastAsia="宋体" w:cs="宋体"/>
          <w:color w:val="auto"/>
          <w:sz w:val="24"/>
          <w:szCs w:val="28"/>
        </w:rPr>
      </w:pPr>
    </w:p>
    <w:p w14:paraId="293712E3">
      <w:pPr>
        <w:tabs>
          <w:tab w:val="left" w:pos="6300"/>
        </w:tabs>
        <w:snapToGrid w:val="0"/>
        <w:spacing w:line="500" w:lineRule="exact"/>
        <w:ind w:firstLine="570"/>
        <w:rPr>
          <w:rFonts w:hint="eastAsia" w:ascii="宋体" w:hAnsi="宋体" w:eastAsia="宋体" w:cs="宋体"/>
          <w:color w:val="auto"/>
          <w:sz w:val="24"/>
          <w:szCs w:val="28"/>
        </w:rPr>
      </w:pPr>
    </w:p>
    <w:p w14:paraId="49DD7418">
      <w:pPr>
        <w:tabs>
          <w:tab w:val="left" w:pos="6300"/>
        </w:tabs>
        <w:snapToGrid w:val="0"/>
        <w:spacing w:line="500" w:lineRule="exact"/>
        <w:ind w:firstLine="570"/>
        <w:rPr>
          <w:rFonts w:hint="eastAsia" w:ascii="宋体" w:hAnsi="宋体" w:eastAsia="宋体" w:cs="宋体"/>
          <w:color w:val="auto"/>
          <w:sz w:val="24"/>
          <w:szCs w:val="28"/>
        </w:rPr>
      </w:pPr>
    </w:p>
    <w:p w14:paraId="6720D22C">
      <w:pPr>
        <w:tabs>
          <w:tab w:val="left" w:pos="6300"/>
        </w:tabs>
        <w:snapToGrid w:val="0"/>
        <w:spacing w:line="500" w:lineRule="exact"/>
        <w:ind w:firstLine="570"/>
        <w:rPr>
          <w:rFonts w:hint="eastAsia" w:ascii="宋体" w:hAnsi="宋体" w:eastAsia="宋体" w:cs="宋体"/>
          <w:color w:val="auto"/>
          <w:sz w:val="24"/>
          <w:szCs w:val="28"/>
        </w:rPr>
      </w:pPr>
    </w:p>
    <w:p w14:paraId="3ECA1D66">
      <w:pPr>
        <w:tabs>
          <w:tab w:val="left" w:pos="6300"/>
        </w:tabs>
        <w:snapToGrid w:val="0"/>
        <w:spacing w:line="500" w:lineRule="exact"/>
        <w:ind w:firstLine="570"/>
        <w:rPr>
          <w:rFonts w:hint="eastAsia" w:ascii="宋体" w:hAnsi="宋体" w:eastAsia="宋体" w:cs="宋体"/>
          <w:color w:val="auto"/>
          <w:sz w:val="24"/>
          <w:szCs w:val="28"/>
        </w:rPr>
      </w:pPr>
    </w:p>
    <w:p w14:paraId="6397E7D0">
      <w:pPr>
        <w:tabs>
          <w:tab w:val="left" w:pos="6300"/>
        </w:tabs>
        <w:snapToGrid w:val="0"/>
        <w:spacing w:line="500" w:lineRule="exact"/>
        <w:ind w:firstLine="570"/>
        <w:rPr>
          <w:rFonts w:hint="eastAsia" w:ascii="宋体" w:hAnsi="宋体" w:eastAsia="宋体" w:cs="宋体"/>
          <w:color w:val="auto"/>
          <w:sz w:val="24"/>
          <w:szCs w:val="28"/>
        </w:rPr>
      </w:pPr>
    </w:p>
    <w:p w14:paraId="5CB12FBB">
      <w:pPr>
        <w:tabs>
          <w:tab w:val="left" w:pos="6300"/>
        </w:tabs>
        <w:snapToGrid w:val="0"/>
        <w:spacing w:line="500" w:lineRule="exact"/>
        <w:ind w:firstLine="570"/>
        <w:rPr>
          <w:rFonts w:hint="eastAsia" w:ascii="宋体" w:hAnsi="宋体" w:eastAsia="宋体" w:cs="宋体"/>
          <w:color w:val="auto"/>
          <w:sz w:val="24"/>
          <w:szCs w:val="28"/>
        </w:rPr>
      </w:pPr>
    </w:p>
    <w:p w14:paraId="58685897">
      <w:pPr>
        <w:tabs>
          <w:tab w:val="left" w:pos="6300"/>
        </w:tabs>
        <w:snapToGrid w:val="0"/>
        <w:spacing w:line="500" w:lineRule="exact"/>
        <w:ind w:firstLine="570"/>
        <w:rPr>
          <w:rFonts w:hint="eastAsia" w:ascii="宋体" w:hAnsi="宋体" w:eastAsia="宋体" w:cs="宋体"/>
          <w:color w:val="auto"/>
          <w:sz w:val="24"/>
          <w:szCs w:val="28"/>
        </w:rPr>
      </w:pPr>
    </w:p>
    <w:p w14:paraId="17190D91">
      <w:pPr>
        <w:tabs>
          <w:tab w:val="left" w:pos="6300"/>
        </w:tabs>
        <w:snapToGrid w:val="0"/>
        <w:spacing w:line="500" w:lineRule="exact"/>
        <w:ind w:firstLine="570"/>
        <w:rPr>
          <w:rFonts w:hint="eastAsia" w:ascii="宋体" w:hAnsi="宋体" w:eastAsia="宋体" w:cs="宋体"/>
          <w:color w:val="auto"/>
          <w:sz w:val="24"/>
          <w:szCs w:val="28"/>
        </w:rPr>
      </w:pPr>
    </w:p>
    <w:p w14:paraId="65201940">
      <w:pPr>
        <w:tabs>
          <w:tab w:val="left" w:pos="6300"/>
        </w:tabs>
        <w:snapToGrid w:val="0"/>
        <w:spacing w:line="500" w:lineRule="exact"/>
        <w:ind w:firstLine="570"/>
        <w:rPr>
          <w:rFonts w:hint="eastAsia" w:ascii="宋体" w:hAnsi="宋体" w:eastAsia="宋体" w:cs="宋体"/>
          <w:color w:val="auto"/>
          <w:sz w:val="24"/>
          <w:szCs w:val="28"/>
        </w:rPr>
      </w:pPr>
    </w:p>
    <w:p w14:paraId="0797EB66">
      <w:pPr>
        <w:tabs>
          <w:tab w:val="left" w:pos="6300"/>
        </w:tabs>
        <w:snapToGrid w:val="0"/>
        <w:spacing w:line="500" w:lineRule="exact"/>
        <w:ind w:firstLine="570"/>
        <w:rPr>
          <w:rFonts w:hint="eastAsia" w:ascii="宋体" w:hAnsi="宋体" w:eastAsia="宋体" w:cs="宋体"/>
          <w:color w:val="auto"/>
          <w:sz w:val="24"/>
          <w:szCs w:val="28"/>
        </w:rPr>
      </w:pPr>
    </w:p>
    <w:p w14:paraId="1A8C28B5">
      <w:pPr>
        <w:tabs>
          <w:tab w:val="left" w:pos="6300"/>
        </w:tabs>
        <w:snapToGrid w:val="0"/>
        <w:spacing w:line="500" w:lineRule="exact"/>
        <w:ind w:firstLine="570"/>
        <w:rPr>
          <w:rFonts w:hint="eastAsia" w:ascii="宋体" w:hAnsi="宋体" w:eastAsia="宋体" w:cs="宋体"/>
          <w:color w:val="auto"/>
          <w:sz w:val="24"/>
          <w:szCs w:val="28"/>
        </w:rPr>
      </w:pPr>
    </w:p>
    <w:p w14:paraId="3FFD0BE6">
      <w:pPr>
        <w:tabs>
          <w:tab w:val="left" w:pos="6300"/>
        </w:tabs>
        <w:snapToGrid w:val="0"/>
        <w:spacing w:line="500" w:lineRule="exact"/>
        <w:ind w:firstLine="570"/>
        <w:rPr>
          <w:rFonts w:hint="eastAsia" w:ascii="宋体" w:hAnsi="宋体" w:eastAsia="宋体" w:cs="宋体"/>
          <w:color w:val="auto"/>
          <w:sz w:val="24"/>
          <w:szCs w:val="28"/>
        </w:rPr>
      </w:pPr>
    </w:p>
    <w:p w14:paraId="6F803BAE">
      <w:pPr>
        <w:tabs>
          <w:tab w:val="left" w:pos="6300"/>
        </w:tabs>
        <w:snapToGrid w:val="0"/>
        <w:spacing w:line="500" w:lineRule="exact"/>
        <w:ind w:firstLine="570"/>
        <w:rPr>
          <w:rFonts w:hint="eastAsia" w:ascii="宋体" w:hAnsi="宋体" w:eastAsia="宋体" w:cs="宋体"/>
          <w:color w:val="auto"/>
          <w:sz w:val="24"/>
          <w:szCs w:val="28"/>
        </w:rPr>
      </w:pPr>
    </w:p>
    <w:p w14:paraId="51CB02C9">
      <w:pPr>
        <w:tabs>
          <w:tab w:val="left" w:pos="6300"/>
        </w:tabs>
        <w:snapToGrid w:val="0"/>
        <w:spacing w:line="500" w:lineRule="exact"/>
        <w:ind w:firstLine="570"/>
        <w:rPr>
          <w:rFonts w:hint="eastAsia" w:ascii="宋体" w:hAnsi="宋体" w:eastAsia="宋体" w:cs="宋体"/>
          <w:color w:val="auto"/>
          <w:sz w:val="24"/>
          <w:szCs w:val="28"/>
        </w:rPr>
      </w:pPr>
    </w:p>
    <w:p w14:paraId="44B23352">
      <w:pPr>
        <w:tabs>
          <w:tab w:val="left" w:pos="6300"/>
        </w:tabs>
        <w:snapToGrid w:val="0"/>
        <w:spacing w:line="500" w:lineRule="exact"/>
        <w:ind w:firstLine="570"/>
        <w:rPr>
          <w:rFonts w:hint="eastAsia" w:ascii="宋体" w:hAnsi="宋体" w:eastAsia="宋体" w:cs="宋体"/>
          <w:color w:val="auto"/>
          <w:sz w:val="24"/>
          <w:szCs w:val="28"/>
        </w:rPr>
      </w:pPr>
    </w:p>
    <w:p w14:paraId="330AEB9D">
      <w:pPr>
        <w:tabs>
          <w:tab w:val="left" w:pos="6300"/>
        </w:tabs>
        <w:snapToGrid w:val="0"/>
        <w:spacing w:line="500" w:lineRule="exact"/>
        <w:ind w:firstLine="570"/>
        <w:rPr>
          <w:rFonts w:hint="eastAsia" w:ascii="宋体" w:hAnsi="宋体" w:eastAsia="宋体" w:cs="宋体"/>
          <w:color w:val="auto"/>
          <w:sz w:val="24"/>
          <w:szCs w:val="28"/>
        </w:rPr>
      </w:pPr>
    </w:p>
    <w:p w14:paraId="08CCD806">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26E360AE">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说明：</w:t>
      </w:r>
    </w:p>
    <w:p w14:paraId="30E9452E">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7763BC03">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8"/>
        </w:rPr>
        <w:t>2.提供所投产品列入《财政部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14:paraId="626FF66D">
      <w:pPr>
        <w:snapToGrid w:val="0"/>
        <w:spacing w:line="500" w:lineRule="exact"/>
        <w:ind w:firstLine="480" w:firstLineChars="200"/>
        <w:rPr>
          <w:rFonts w:hint="eastAsia" w:ascii="宋体" w:hAnsi="宋体" w:eastAsia="宋体" w:cs="宋体"/>
          <w:color w:val="auto"/>
          <w:sz w:val="24"/>
          <w:szCs w:val="28"/>
        </w:rPr>
      </w:pPr>
    </w:p>
    <w:p w14:paraId="4352BEBC">
      <w:pPr>
        <w:pStyle w:val="3"/>
        <w:pageBreakBefore/>
        <w:spacing w:line="500" w:lineRule="exact"/>
        <w:ind w:firstLine="562" w:firstLineChars="200"/>
        <w:rPr>
          <w:rFonts w:hint="eastAsia" w:ascii="宋体" w:hAnsi="宋体" w:eastAsia="宋体" w:cs="宋体"/>
          <w:b/>
          <w:color w:val="auto"/>
          <w:szCs w:val="28"/>
        </w:rPr>
      </w:pPr>
      <w:bookmarkStart w:id="830" w:name="_Toc32670"/>
      <w:bookmarkStart w:id="831" w:name="_Toc5573"/>
      <w:bookmarkStart w:id="832" w:name="_Toc30496"/>
      <w:bookmarkStart w:id="833" w:name="_Toc17290"/>
      <w:bookmarkStart w:id="834" w:name="_Toc22113"/>
      <w:bookmarkStart w:id="835" w:name="_Toc75793542"/>
      <w:bookmarkStart w:id="836" w:name="_Toc26494"/>
      <w:bookmarkStart w:id="837" w:name="_Toc14954"/>
      <w:bookmarkStart w:id="838" w:name="_Toc23523"/>
      <w:bookmarkStart w:id="839" w:name="_Toc8958"/>
      <w:bookmarkStart w:id="840" w:name="_Toc4362"/>
      <w:bookmarkStart w:id="841" w:name="_Toc2955"/>
      <w:bookmarkStart w:id="842" w:name="_Toc28242"/>
      <w:bookmarkStart w:id="843" w:name="_Toc6786"/>
      <w:bookmarkStart w:id="844" w:name="_Toc492721039"/>
      <w:bookmarkStart w:id="845" w:name="_Toc7069"/>
      <w:bookmarkStart w:id="846" w:name="_Toc493178791"/>
      <w:bookmarkStart w:id="847" w:name="_Toc10372"/>
      <w:bookmarkStart w:id="848" w:name="_Toc19411"/>
      <w:r>
        <w:rPr>
          <w:rFonts w:hint="eastAsia" w:ascii="宋体" w:hAnsi="宋体" w:eastAsia="宋体" w:cs="宋体"/>
          <w:b/>
          <w:color w:val="auto"/>
          <w:szCs w:val="28"/>
        </w:rPr>
        <w:t>三、商务文件</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14:paraId="79130163">
      <w:pPr>
        <w:snapToGrid w:val="0"/>
        <w:spacing w:before="120" w:beforeLines="50" w:line="500" w:lineRule="exact"/>
        <w:jc w:val="center"/>
        <w:rPr>
          <w:rFonts w:hint="eastAsia" w:ascii="宋体" w:hAnsi="宋体" w:eastAsia="宋体" w:cs="宋体"/>
          <w:color w:val="auto"/>
          <w:szCs w:val="28"/>
        </w:rPr>
      </w:pPr>
      <w:r>
        <w:rPr>
          <w:rFonts w:hint="eastAsia" w:ascii="宋体" w:hAnsi="宋体" w:eastAsia="宋体" w:cs="宋体"/>
          <w:color w:val="auto"/>
          <w:szCs w:val="28"/>
        </w:rPr>
        <w:t>（一）投标函（格式）</w:t>
      </w:r>
    </w:p>
    <w:p w14:paraId="3EA102F7">
      <w:pPr>
        <w:spacing w:line="500" w:lineRule="exact"/>
        <w:rPr>
          <w:rFonts w:hint="eastAsia" w:ascii="宋体" w:hAnsi="宋体" w:eastAsia="宋体" w:cs="宋体"/>
          <w:color w:val="auto"/>
          <w:sz w:val="24"/>
          <w:szCs w:val="28"/>
        </w:rPr>
      </w:pPr>
    </w:p>
    <w:p w14:paraId="051F584C">
      <w:pPr>
        <w:spacing w:line="500" w:lineRule="exact"/>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招标项目名称：</w:t>
      </w:r>
      <w:r>
        <w:rPr>
          <w:rFonts w:hint="eastAsia" w:ascii="宋体" w:hAnsi="宋体" w:eastAsia="宋体" w:cs="宋体"/>
          <w:color w:val="auto"/>
          <w:sz w:val="24"/>
          <w:szCs w:val="28"/>
          <w:u w:val="single"/>
        </w:rPr>
        <w:t xml:space="preserve">                                             </w:t>
      </w:r>
    </w:p>
    <w:p w14:paraId="2442DF8D">
      <w:pPr>
        <w:spacing w:line="500" w:lineRule="exact"/>
        <w:rPr>
          <w:rFonts w:hint="eastAsia" w:ascii="宋体" w:hAnsi="宋体" w:eastAsia="宋体" w:cs="宋体"/>
          <w:color w:val="auto"/>
          <w:sz w:val="24"/>
          <w:szCs w:val="28"/>
        </w:rPr>
      </w:pPr>
    </w:p>
    <w:p w14:paraId="0438E7DA">
      <w:pPr>
        <w:tabs>
          <w:tab w:val="left" w:pos="6300"/>
        </w:tabs>
        <w:snapToGrid w:val="0"/>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（采购代理机构名称）：</w:t>
      </w:r>
    </w:p>
    <w:p w14:paraId="6B0D306D">
      <w:pPr>
        <w:snapToGrid w:val="0"/>
        <w:spacing w:before="120" w:beforeLines="50"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（投标人名称）系中华人民共和国合法企业，注册地址：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。我方就参加本次投标有关事项郑重声明如下：</w:t>
      </w:r>
    </w:p>
    <w:p w14:paraId="02B56742">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一、我方完全理解并接受该项目招标文件所有要求。</w:t>
      </w:r>
    </w:p>
    <w:p w14:paraId="5C14C0EB">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二、我方提交的所有投标文件、资料都是准确和真实的，如有虚假或隐瞒，我方愿意承担一切法律责任。</w:t>
      </w:r>
    </w:p>
    <w:p w14:paraId="113C7EA1">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三、我方承诺按照招标文件要求，提供招标项目的技术（质量）服务。</w:t>
      </w:r>
    </w:p>
    <w:p w14:paraId="0A6D4E0F">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四、我方按招标文件要求提交的投标文件为：投标文件正本1份，副本</w:t>
      </w:r>
      <w:r>
        <w:rPr>
          <w:rFonts w:hint="eastAsia" w:ascii="宋体" w:hAnsi="宋体" w:eastAsia="宋体" w:cs="宋体"/>
          <w:color w:val="auto"/>
          <w:sz w:val="24"/>
          <w:szCs w:val="28"/>
          <w:lang w:val="en-US" w:eastAsia="zh-CN"/>
        </w:rPr>
        <w:t>3</w:t>
      </w:r>
      <w:r>
        <w:rPr>
          <w:rFonts w:hint="eastAsia" w:ascii="宋体" w:hAnsi="宋体" w:eastAsia="宋体" w:cs="宋体"/>
          <w:color w:val="auto"/>
          <w:sz w:val="24"/>
          <w:szCs w:val="28"/>
        </w:rPr>
        <w:t>份，电子文档</w:t>
      </w:r>
      <w:r>
        <w:rPr>
          <w:rFonts w:hint="eastAsia" w:ascii="宋体" w:hAnsi="宋体" w:eastAsia="宋体" w:cs="宋体"/>
          <w:color w:val="auto"/>
          <w:sz w:val="24"/>
          <w:szCs w:val="28"/>
          <w:lang w:val="en-US" w:eastAsia="zh-CN"/>
        </w:rPr>
        <w:t>1</w:t>
      </w:r>
      <w:r>
        <w:rPr>
          <w:rFonts w:hint="eastAsia" w:ascii="宋体" w:hAnsi="宋体" w:eastAsia="宋体" w:cs="宋体"/>
          <w:color w:val="auto"/>
          <w:sz w:val="24"/>
          <w:szCs w:val="28"/>
        </w:rPr>
        <w:t>份。</w:t>
      </w:r>
    </w:p>
    <w:p w14:paraId="23767F11">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五、我方承诺：本次投标的投标有效期为</w:t>
      </w:r>
      <w:r>
        <w:rPr>
          <w:rFonts w:hint="eastAsia" w:ascii="宋体" w:hAnsi="宋体" w:eastAsia="宋体" w:cs="宋体"/>
          <w:color w:val="auto"/>
          <w:sz w:val="24"/>
        </w:rPr>
        <w:t>投标截止时间</w:t>
      </w:r>
      <w:r>
        <w:rPr>
          <w:rFonts w:hint="eastAsia" w:ascii="宋体" w:hAnsi="宋体" w:eastAsia="宋体" w:cs="宋体"/>
          <w:color w:val="auto"/>
          <w:sz w:val="24"/>
          <w:szCs w:val="28"/>
        </w:rPr>
        <w:t>起90天。</w:t>
      </w:r>
    </w:p>
    <w:p w14:paraId="2F96CEFB">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六、我方投标报价为闭口价。即在投标有效期和合同有效期内，该报价固定不变。</w:t>
      </w:r>
    </w:p>
    <w:p w14:paraId="075E6FAC">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七、如果我方中标，我方将履行招标文件中规定的各项要求以及我方投标文件的各项承诺，按《中华人民共和国政府采购法》、《中华人民共和国民法典》及合同约定条款承担我方责任。</w:t>
      </w:r>
    </w:p>
    <w:p w14:paraId="0884FE83">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八、我方未</w:t>
      </w:r>
      <w:r>
        <w:rPr>
          <w:rFonts w:hint="eastAsia" w:ascii="宋体" w:hAnsi="宋体" w:eastAsia="宋体" w:cs="宋体"/>
          <w:color w:val="auto"/>
          <w:sz w:val="24"/>
          <w:szCs w:val="24"/>
        </w:rPr>
        <w:t>为采购项目提供整体设计、规范编制或者项目管理、监理、检测等服务。</w:t>
      </w:r>
    </w:p>
    <w:p w14:paraId="649C6903">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九、我方理解，最低报价不是中标的唯一条件。</w:t>
      </w:r>
    </w:p>
    <w:p w14:paraId="26E0C5C7">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十、我方同意按有关规定及招标文件要求，交纳足额投标保证金。</w:t>
      </w:r>
    </w:p>
    <w:p w14:paraId="09BB865F">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十一、若我方中标，愿意按有关规定及招标文件要求缴纳招标代理服务费和交易服务费。</w:t>
      </w:r>
    </w:p>
    <w:p w14:paraId="48E4E2F7">
      <w:pPr>
        <w:tabs>
          <w:tab w:val="left" w:pos="6300"/>
        </w:tabs>
        <w:snapToGrid w:val="0"/>
        <w:spacing w:line="500" w:lineRule="exact"/>
        <w:ind w:firstLine="570"/>
        <w:rPr>
          <w:rFonts w:hint="eastAsia" w:ascii="宋体" w:hAnsi="宋体" w:eastAsia="宋体" w:cs="宋体"/>
          <w:color w:val="auto"/>
          <w:sz w:val="24"/>
          <w:szCs w:val="28"/>
        </w:rPr>
      </w:pPr>
    </w:p>
    <w:p w14:paraId="0CC31679">
      <w:pPr>
        <w:tabs>
          <w:tab w:val="left" w:pos="6300"/>
        </w:tabs>
        <w:snapToGrid w:val="0"/>
        <w:spacing w:line="500" w:lineRule="exact"/>
        <w:ind w:firstLine="5460" w:firstLineChars="2275"/>
        <w:rPr>
          <w:rFonts w:hint="eastAsia" w:ascii="宋体" w:hAnsi="宋体" w:eastAsia="宋体" w:cs="宋体"/>
          <w:color w:val="auto"/>
          <w:sz w:val="24"/>
          <w:szCs w:val="28"/>
        </w:rPr>
      </w:pPr>
      <w:r>
        <w:rPr>
          <w:rFonts w:hint="eastAsia" w:ascii="宋体" w:hAnsi="宋体" w:eastAsia="宋体" w:cs="宋体"/>
          <w:color w:val="auto"/>
          <w:sz w:val="24"/>
          <w:szCs w:val="28"/>
        </w:rPr>
        <w:t>（投标人公章或自然人签署）</w:t>
      </w:r>
    </w:p>
    <w:p w14:paraId="5221CD6A">
      <w:pPr>
        <w:tabs>
          <w:tab w:val="left" w:pos="6300"/>
        </w:tabs>
        <w:snapToGrid w:val="0"/>
        <w:spacing w:line="500" w:lineRule="exact"/>
        <w:ind w:firstLine="5760" w:firstLineChars="2400"/>
        <w:rPr>
          <w:rFonts w:hint="eastAsia" w:ascii="宋体" w:hAnsi="宋体" w:eastAsia="宋体" w:cs="宋体"/>
          <w:color w:val="auto"/>
          <w:szCs w:val="28"/>
        </w:rPr>
      </w:pPr>
      <w:r>
        <w:rPr>
          <w:rFonts w:hint="eastAsia" w:ascii="宋体" w:hAnsi="宋体" w:eastAsia="宋体" w:cs="宋体"/>
          <w:color w:val="auto"/>
          <w:sz w:val="24"/>
          <w:szCs w:val="28"/>
        </w:rPr>
        <w:t>年    月   日</w:t>
      </w:r>
    </w:p>
    <w:p w14:paraId="31C0FABF">
      <w:pPr>
        <w:snapToGrid w:val="0"/>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szCs w:val="44"/>
        </w:rPr>
        <w:br w:type="page"/>
      </w:r>
      <w:r>
        <w:rPr>
          <w:rFonts w:hint="eastAsia" w:ascii="宋体" w:hAnsi="宋体" w:eastAsia="宋体" w:cs="宋体"/>
          <w:color w:val="auto"/>
          <w:sz w:val="24"/>
          <w:szCs w:val="28"/>
        </w:rPr>
        <w:t>（二）商务条款差异表</w:t>
      </w:r>
    </w:p>
    <w:p w14:paraId="3F7358FB">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项目号：</w:t>
      </w:r>
    </w:p>
    <w:p w14:paraId="664C4C8D">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招标项目名称：</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65F7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43898FC4">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542" w:type="pct"/>
            <w:vAlign w:val="center"/>
          </w:tcPr>
          <w:p w14:paraId="7C275B97">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招标商务要求</w:t>
            </w:r>
          </w:p>
        </w:tc>
        <w:tc>
          <w:tcPr>
            <w:tcW w:w="1600" w:type="pct"/>
            <w:vAlign w:val="center"/>
          </w:tcPr>
          <w:p w14:paraId="7B899329">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投标商务应答</w:t>
            </w:r>
          </w:p>
        </w:tc>
        <w:tc>
          <w:tcPr>
            <w:tcW w:w="1199" w:type="pct"/>
            <w:vAlign w:val="center"/>
          </w:tcPr>
          <w:p w14:paraId="1D23EF36">
            <w:pPr>
              <w:tabs>
                <w:tab w:val="left" w:pos="6300"/>
              </w:tabs>
              <w:snapToGrid w:val="0"/>
              <w:spacing w:line="50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差异说明</w:t>
            </w:r>
          </w:p>
        </w:tc>
      </w:tr>
      <w:tr w14:paraId="3928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7C8634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16A4A92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48170B1C">
            <w:pPr>
              <w:tabs>
                <w:tab w:val="left" w:pos="6300"/>
              </w:tabs>
              <w:snapToGrid w:val="0"/>
              <w:spacing w:line="500" w:lineRule="exact"/>
              <w:outlineLvl w:val="0"/>
              <w:rPr>
                <w:rFonts w:hint="eastAsia" w:ascii="宋体" w:hAnsi="宋体" w:eastAsia="宋体" w:cs="宋体"/>
                <w:color w:val="auto"/>
                <w:sz w:val="21"/>
                <w:szCs w:val="21"/>
              </w:rPr>
            </w:pPr>
            <w:r>
              <w:rPr>
                <w:rFonts w:hint="eastAsia" w:ascii="宋体" w:hAnsi="宋体" w:eastAsia="宋体" w:cs="宋体"/>
                <w:color w:val="auto"/>
                <w:sz w:val="21"/>
                <w:szCs w:val="21"/>
              </w:rPr>
              <w:t>提醒：请注明具体内容以及投标文件中具体内容的位置（页码）</w:t>
            </w:r>
          </w:p>
        </w:tc>
        <w:tc>
          <w:tcPr>
            <w:tcW w:w="1199" w:type="pct"/>
            <w:vAlign w:val="center"/>
          </w:tcPr>
          <w:p w14:paraId="3C406B06">
            <w:pPr>
              <w:tabs>
                <w:tab w:val="left" w:pos="6300"/>
              </w:tabs>
              <w:snapToGrid w:val="0"/>
              <w:spacing w:line="500" w:lineRule="exact"/>
              <w:jc w:val="center"/>
              <w:outlineLvl w:val="0"/>
              <w:rPr>
                <w:rFonts w:hint="eastAsia" w:ascii="宋体" w:hAnsi="宋体" w:eastAsia="宋体" w:cs="宋体"/>
                <w:color w:val="auto"/>
                <w:sz w:val="21"/>
                <w:szCs w:val="21"/>
              </w:rPr>
            </w:pPr>
          </w:p>
        </w:tc>
      </w:tr>
      <w:tr w14:paraId="348D0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6502150">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49B34CA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19D19C9F">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06AA319A">
            <w:pPr>
              <w:tabs>
                <w:tab w:val="left" w:pos="6300"/>
              </w:tabs>
              <w:snapToGrid w:val="0"/>
              <w:spacing w:line="500" w:lineRule="exact"/>
              <w:jc w:val="center"/>
              <w:outlineLvl w:val="0"/>
              <w:rPr>
                <w:rFonts w:hint="eastAsia" w:ascii="宋体" w:hAnsi="宋体" w:eastAsia="宋体" w:cs="宋体"/>
                <w:color w:val="auto"/>
                <w:sz w:val="21"/>
                <w:szCs w:val="21"/>
              </w:rPr>
            </w:pPr>
          </w:p>
        </w:tc>
      </w:tr>
      <w:tr w14:paraId="18D6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B29BC7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692EBA0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42A1E235">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1CDEB66D">
            <w:pPr>
              <w:tabs>
                <w:tab w:val="left" w:pos="6300"/>
              </w:tabs>
              <w:snapToGrid w:val="0"/>
              <w:spacing w:line="500" w:lineRule="exact"/>
              <w:jc w:val="center"/>
              <w:outlineLvl w:val="0"/>
              <w:rPr>
                <w:rFonts w:hint="eastAsia" w:ascii="宋体" w:hAnsi="宋体" w:eastAsia="宋体" w:cs="宋体"/>
                <w:color w:val="auto"/>
                <w:sz w:val="21"/>
                <w:szCs w:val="21"/>
              </w:rPr>
            </w:pPr>
          </w:p>
        </w:tc>
      </w:tr>
      <w:tr w14:paraId="7852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7258C4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3BE1EC7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1AF6770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E4D47AD">
            <w:pPr>
              <w:tabs>
                <w:tab w:val="left" w:pos="6300"/>
              </w:tabs>
              <w:snapToGrid w:val="0"/>
              <w:spacing w:line="500" w:lineRule="exact"/>
              <w:jc w:val="center"/>
              <w:outlineLvl w:val="0"/>
              <w:rPr>
                <w:rFonts w:hint="eastAsia" w:ascii="宋体" w:hAnsi="宋体" w:eastAsia="宋体" w:cs="宋体"/>
                <w:color w:val="auto"/>
                <w:sz w:val="21"/>
                <w:szCs w:val="21"/>
              </w:rPr>
            </w:pPr>
          </w:p>
        </w:tc>
      </w:tr>
      <w:tr w14:paraId="1DDD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2F8B57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653D9D2">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17A45C7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5D99A172">
            <w:pPr>
              <w:tabs>
                <w:tab w:val="left" w:pos="6300"/>
              </w:tabs>
              <w:snapToGrid w:val="0"/>
              <w:spacing w:line="500" w:lineRule="exact"/>
              <w:jc w:val="center"/>
              <w:outlineLvl w:val="0"/>
              <w:rPr>
                <w:rFonts w:hint="eastAsia" w:ascii="宋体" w:hAnsi="宋体" w:eastAsia="宋体" w:cs="宋体"/>
                <w:color w:val="auto"/>
                <w:sz w:val="21"/>
                <w:szCs w:val="21"/>
              </w:rPr>
            </w:pPr>
          </w:p>
        </w:tc>
      </w:tr>
      <w:tr w14:paraId="1755E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D3FC31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25A1E26E">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2985CA52">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689F49D6">
            <w:pPr>
              <w:tabs>
                <w:tab w:val="left" w:pos="6300"/>
              </w:tabs>
              <w:snapToGrid w:val="0"/>
              <w:spacing w:line="500" w:lineRule="exact"/>
              <w:jc w:val="center"/>
              <w:outlineLvl w:val="0"/>
              <w:rPr>
                <w:rFonts w:hint="eastAsia" w:ascii="宋体" w:hAnsi="宋体" w:eastAsia="宋体" w:cs="宋体"/>
                <w:color w:val="auto"/>
                <w:sz w:val="21"/>
                <w:szCs w:val="21"/>
              </w:rPr>
            </w:pPr>
          </w:p>
        </w:tc>
      </w:tr>
      <w:tr w14:paraId="1D2B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C0A4EB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5675978D">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2D78759E">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24205BBF">
            <w:pPr>
              <w:tabs>
                <w:tab w:val="left" w:pos="6300"/>
              </w:tabs>
              <w:snapToGrid w:val="0"/>
              <w:spacing w:line="500" w:lineRule="exact"/>
              <w:jc w:val="center"/>
              <w:outlineLvl w:val="0"/>
              <w:rPr>
                <w:rFonts w:hint="eastAsia" w:ascii="宋体" w:hAnsi="宋体" w:eastAsia="宋体" w:cs="宋体"/>
                <w:color w:val="auto"/>
                <w:sz w:val="21"/>
                <w:szCs w:val="21"/>
              </w:rPr>
            </w:pPr>
          </w:p>
        </w:tc>
      </w:tr>
      <w:tr w14:paraId="3D1AD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953752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5E5BD8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32898BA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28FA31B9">
            <w:pPr>
              <w:tabs>
                <w:tab w:val="left" w:pos="6300"/>
              </w:tabs>
              <w:snapToGrid w:val="0"/>
              <w:spacing w:line="500" w:lineRule="exact"/>
              <w:jc w:val="center"/>
              <w:outlineLvl w:val="0"/>
              <w:rPr>
                <w:rFonts w:hint="eastAsia" w:ascii="宋体" w:hAnsi="宋体" w:eastAsia="宋体" w:cs="宋体"/>
                <w:color w:val="auto"/>
                <w:sz w:val="21"/>
                <w:szCs w:val="21"/>
              </w:rPr>
            </w:pPr>
          </w:p>
        </w:tc>
      </w:tr>
      <w:tr w14:paraId="77A22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3E91F3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73818B0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6FBD289E">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2714250A">
            <w:pPr>
              <w:tabs>
                <w:tab w:val="left" w:pos="6300"/>
              </w:tabs>
              <w:snapToGrid w:val="0"/>
              <w:spacing w:line="500" w:lineRule="exact"/>
              <w:jc w:val="center"/>
              <w:outlineLvl w:val="0"/>
              <w:rPr>
                <w:rFonts w:hint="eastAsia" w:ascii="宋体" w:hAnsi="宋体" w:eastAsia="宋体" w:cs="宋体"/>
                <w:color w:val="auto"/>
                <w:sz w:val="21"/>
                <w:szCs w:val="21"/>
              </w:rPr>
            </w:pPr>
          </w:p>
        </w:tc>
      </w:tr>
      <w:tr w14:paraId="69F2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4D61251">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1FDF599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63AC6DA8">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1A61D6F8">
            <w:pPr>
              <w:tabs>
                <w:tab w:val="left" w:pos="6300"/>
              </w:tabs>
              <w:snapToGrid w:val="0"/>
              <w:spacing w:line="500" w:lineRule="exact"/>
              <w:jc w:val="center"/>
              <w:outlineLvl w:val="0"/>
              <w:rPr>
                <w:rFonts w:hint="eastAsia" w:ascii="宋体" w:hAnsi="宋体" w:eastAsia="宋体" w:cs="宋体"/>
                <w:color w:val="auto"/>
                <w:sz w:val="21"/>
                <w:szCs w:val="21"/>
              </w:rPr>
            </w:pPr>
          </w:p>
        </w:tc>
      </w:tr>
      <w:tr w14:paraId="4219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E3F7956">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5FD038A4">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6B8AE8EB">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5333B859">
            <w:pPr>
              <w:tabs>
                <w:tab w:val="left" w:pos="6300"/>
              </w:tabs>
              <w:snapToGrid w:val="0"/>
              <w:spacing w:line="500" w:lineRule="exact"/>
              <w:jc w:val="center"/>
              <w:outlineLvl w:val="0"/>
              <w:rPr>
                <w:rFonts w:hint="eastAsia" w:ascii="宋体" w:hAnsi="宋体" w:eastAsia="宋体" w:cs="宋体"/>
                <w:color w:val="auto"/>
                <w:sz w:val="21"/>
                <w:szCs w:val="21"/>
              </w:rPr>
            </w:pPr>
          </w:p>
        </w:tc>
      </w:tr>
      <w:tr w14:paraId="4036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1C764DA">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53326E6D">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01047D8C">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5CA586D3">
            <w:pPr>
              <w:tabs>
                <w:tab w:val="left" w:pos="6300"/>
              </w:tabs>
              <w:snapToGrid w:val="0"/>
              <w:spacing w:line="500" w:lineRule="exact"/>
              <w:jc w:val="center"/>
              <w:outlineLvl w:val="0"/>
              <w:rPr>
                <w:rFonts w:hint="eastAsia" w:ascii="宋体" w:hAnsi="宋体" w:eastAsia="宋体" w:cs="宋体"/>
                <w:color w:val="auto"/>
                <w:sz w:val="21"/>
                <w:szCs w:val="21"/>
              </w:rPr>
            </w:pPr>
          </w:p>
        </w:tc>
      </w:tr>
      <w:tr w14:paraId="188C5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BA94413">
            <w:pPr>
              <w:tabs>
                <w:tab w:val="left" w:pos="6300"/>
              </w:tabs>
              <w:snapToGrid w:val="0"/>
              <w:spacing w:line="500" w:lineRule="exact"/>
              <w:jc w:val="center"/>
              <w:outlineLvl w:val="0"/>
              <w:rPr>
                <w:rFonts w:hint="eastAsia" w:ascii="宋体" w:hAnsi="宋体" w:eastAsia="宋体" w:cs="宋体"/>
                <w:color w:val="auto"/>
                <w:sz w:val="21"/>
                <w:szCs w:val="21"/>
              </w:rPr>
            </w:pPr>
          </w:p>
        </w:tc>
        <w:tc>
          <w:tcPr>
            <w:tcW w:w="1542" w:type="pct"/>
            <w:vAlign w:val="center"/>
          </w:tcPr>
          <w:p w14:paraId="3E63AEFF">
            <w:pPr>
              <w:tabs>
                <w:tab w:val="left" w:pos="6300"/>
              </w:tabs>
              <w:snapToGrid w:val="0"/>
              <w:spacing w:line="500" w:lineRule="exact"/>
              <w:jc w:val="center"/>
              <w:outlineLvl w:val="0"/>
              <w:rPr>
                <w:rFonts w:hint="eastAsia" w:ascii="宋体" w:hAnsi="宋体" w:eastAsia="宋体" w:cs="宋体"/>
                <w:color w:val="auto"/>
                <w:sz w:val="21"/>
                <w:szCs w:val="21"/>
              </w:rPr>
            </w:pPr>
          </w:p>
        </w:tc>
        <w:tc>
          <w:tcPr>
            <w:tcW w:w="1600" w:type="pct"/>
            <w:vAlign w:val="center"/>
          </w:tcPr>
          <w:p w14:paraId="52D614F9">
            <w:pPr>
              <w:tabs>
                <w:tab w:val="left" w:pos="6300"/>
              </w:tabs>
              <w:snapToGrid w:val="0"/>
              <w:spacing w:line="500" w:lineRule="exact"/>
              <w:jc w:val="center"/>
              <w:outlineLvl w:val="0"/>
              <w:rPr>
                <w:rFonts w:hint="eastAsia" w:ascii="宋体" w:hAnsi="宋体" w:eastAsia="宋体" w:cs="宋体"/>
                <w:color w:val="auto"/>
                <w:sz w:val="21"/>
                <w:szCs w:val="21"/>
              </w:rPr>
            </w:pPr>
          </w:p>
        </w:tc>
        <w:tc>
          <w:tcPr>
            <w:tcW w:w="1199" w:type="pct"/>
            <w:vAlign w:val="center"/>
          </w:tcPr>
          <w:p w14:paraId="4EF62148">
            <w:pPr>
              <w:tabs>
                <w:tab w:val="left" w:pos="6300"/>
              </w:tabs>
              <w:snapToGrid w:val="0"/>
              <w:spacing w:line="500" w:lineRule="exact"/>
              <w:jc w:val="center"/>
              <w:outlineLvl w:val="0"/>
              <w:rPr>
                <w:rFonts w:hint="eastAsia" w:ascii="宋体" w:hAnsi="宋体" w:eastAsia="宋体" w:cs="宋体"/>
                <w:color w:val="auto"/>
                <w:sz w:val="21"/>
                <w:szCs w:val="21"/>
              </w:rPr>
            </w:pPr>
          </w:p>
        </w:tc>
      </w:tr>
    </w:tbl>
    <w:p w14:paraId="431D0984">
      <w:pPr>
        <w:spacing w:line="500" w:lineRule="exact"/>
        <w:ind w:firstLine="600" w:firstLineChars="250"/>
        <w:rPr>
          <w:rFonts w:hint="eastAsia" w:ascii="宋体" w:hAnsi="宋体" w:eastAsia="宋体" w:cs="宋体"/>
          <w:color w:val="auto"/>
          <w:sz w:val="24"/>
          <w:szCs w:val="28"/>
        </w:rPr>
      </w:pPr>
    </w:p>
    <w:p w14:paraId="3E56BDAE">
      <w:pPr>
        <w:spacing w:line="500" w:lineRule="exact"/>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投标人：                     法定代表人（或法定代表人授权代表）或自然人：</w:t>
      </w:r>
    </w:p>
    <w:p w14:paraId="3E80828E">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    （投标人公章）                               （签署或盖章）</w:t>
      </w:r>
    </w:p>
    <w:p w14:paraId="18B6C425">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szCs w:val="28"/>
        </w:rPr>
        <w:t xml:space="preserve">                                            年     月     日</w:t>
      </w:r>
    </w:p>
    <w:p w14:paraId="55F85916">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注：</w:t>
      </w:r>
    </w:p>
    <w:p w14:paraId="6950224B">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1.本表即为对本项目“第三篇 项目商务需求”中所列条款进行比较和响应；</w:t>
      </w:r>
    </w:p>
    <w:p w14:paraId="072E9267">
      <w:pPr>
        <w:tabs>
          <w:tab w:val="left" w:pos="6300"/>
        </w:tabs>
        <w:snapToGrid w:val="0"/>
        <w:spacing w:line="50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2.本表可扩展。</w:t>
      </w:r>
    </w:p>
    <w:p w14:paraId="1C443A2C">
      <w:pPr>
        <w:snapToGrid w:val="0"/>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szCs w:val="28"/>
        </w:rPr>
        <w:br w:type="page"/>
      </w:r>
      <w:r>
        <w:rPr>
          <w:rFonts w:hint="eastAsia" w:ascii="宋体" w:hAnsi="宋体" w:eastAsia="宋体" w:cs="宋体"/>
          <w:color w:val="auto"/>
          <w:sz w:val="24"/>
          <w:szCs w:val="28"/>
        </w:rPr>
        <w:t>（三）其他商务资料</w:t>
      </w:r>
    </w:p>
    <w:p w14:paraId="66FFB9A3">
      <w:pPr>
        <w:snapToGrid w:val="0"/>
        <w:spacing w:line="400" w:lineRule="exact"/>
        <w:ind w:firstLine="480" w:firstLineChars="200"/>
        <w:rPr>
          <w:rFonts w:hint="eastAsia" w:ascii="宋体" w:hAnsi="宋体" w:eastAsia="宋体" w:cs="宋体"/>
          <w:color w:val="auto"/>
          <w:sz w:val="24"/>
          <w:szCs w:val="28"/>
        </w:rPr>
      </w:pPr>
    </w:p>
    <w:p w14:paraId="64EF317F">
      <w:pPr>
        <w:tabs>
          <w:tab w:val="left" w:pos="6300"/>
        </w:tabs>
        <w:snapToGrid w:val="0"/>
        <w:spacing w:line="500" w:lineRule="exact"/>
        <w:ind w:firstLine="560"/>
        <w:rPr>
          <w:rFonts w:hint="eastAsia" w:ascii="宋体" w:hAnsi="宋体" w:eastAsia="宋体" w:cs="宋体"/>
          <w:color w:val="auto"/>
          <w:szCs w:val="28"/>
        </w:rPr>
      </w:pPr>
      <w:r>
        <w:rPr>
          <w:rFonts w:hint="eastAsia" w:ascii="宋体" w:hAnsi="宋体" w:eastAsia="宋体" w:cs="宋体"/>
          <w:color w:val="auto"/>
          <w:szCs w:val="28"/>
        </w:rPr>
        <w:t xml:space="preserve"> </w:t>
      </w:r>
    </w:p>
    <w:p w14:paraId="09C0215B">
      <w:pPr>
        <w:pStyle w:val="3"/>
        <w:pageBreakBefore/>
        <w:spacing w:line="500" w:lineRule="exact"/>
        <w:ind w:firstLine="562" w:firstLineChars="200"/>
        <w:rPr>
          <w:rFonts w:hint="eastAsia" w:ascii="宋体" w:hAnsi="宋体" w:eastAsia="宋体" w:cs="宋体"/>
          <w:b/>
          <w:color w:val="auto"/>
          <w:szCs w:val="28"/>
        </w:rPr>
      </w:pPr>
      <w:bookmarkStart w:id="849" w:name="_Toc492721041"/>
      <w:bookmarkStart w:id="850" w:name="_Toc30376"/>
      <w:bookmarkStart w:id="851" w:name="_Toc5854"/>
      <w:bookmarkStart w:id="852" w:name="_Toc493178792"/>
      <w:bookmarkStart w:id="853" w:name="_Toc19687"/>
      <w:bookmarkStart w:id="854" w:name="_Toc6978"/>
      <w:bookmarkStart w:id="855" w:name="_Toc7042"/>
      <w:bookmarkStart w:id="856" w:name="_Toc2395"/>
      <w:bookmarkStart w:id="857" w:name="_Toc3816"/>
      <w:bookmarkStart w:id="858" w:name="_Toc29543"/>
      <w:bookmarkStart w:id="859" w:name="_Toc75793543"/>
      <w:bookmarkStart w:id="860" w:name="_Toc4624"/>
      <w:bookmarkStart w:id="861" w:name="_Toc3199"/>
      <w:bookmarkStart w:id="862" w:name="_Toc29932"/>
      <w:bookmarkStart w:id="863" w:name="_Toc27849"/>
      <w:bookmarkStart w:id="864" w:name="_Toc23915"/>
      <w:bookmarkStart w:id="865" w:name="_Toc24540"/>
      <w:bookmarkStart w:id="866" w:name="_Toc11165"/>
      <w:bookmarkStart w:id="867" w:name="_Toc8495"/>
      <w:r>
        <w:rPr>
          <w:rFonts w:hint="eastAsia" w:ascii="宋体" w:hAnsi="宋体" w:eastAsia="宋体" w:cs="宋体"/>
          <w:b/>
          <w:color w:val="auto"/>
          <w:szCs w:val="28"/>
        </w:rPr>
        <w:t>四、其他</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p w14:paraId="2884CC09">
      <w:pPr>
        <w:snapToGrid w:val="0"/>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（一）中小企业声明函、监狱企业证明文件、残疾人福利性单位声明函</w:t>
      </w:r>
    </w:p>
    <w:p w14:paraId="378CA55C">
      <w:pPr>
        <w:tabs>
          <w:tab w:val="left" w:pos="6300"/>
        </w:tabs>
        <w:snapToGrid w:val="0"/>
        <w:spacing w:line="500" w:lineRule="exact"/>
        <w:jc w:val="center"/>
        <w:rPr>
          <w:rFonts w:hint="eastAsia" w:ascii="宋体" w:hAnsi="宋体" w:eastAsia="宋体" w:cs="宋体"/>
          <w:color w:val="auto"/>
        </w:rPr>
      </w:pPr>
      <w:r>
        <w:rPr>
          <w:rFonts w:hint="eastAsia" w:ascii="宋体" w:hAnsi="宋体" w:eastAsia="宋体" w:cs="宋体"/>
          <w:color w:val="auto"/>
        </w:rPr>
        <w:t>中小企业声明函（货物类）</w:t>
      </w:r>
    </w:p>
    <w:p w14:paraId="6F6A8239">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本公司郑重声明，根据《政府采购促进中小企业发展管理办法》（</w:t>
      </w:r>
      <w:r>
        <w:rPr>
          <w:rFonts w:hint="eastAsia" w:ascii="宋体" w:hAnsi="宋体" w:eastAsia="宋体" w:cs="宋体"/>
          <w:color w:val="auto"/>
          <w:sz w:val="24"/>
          <w:szCs w:val="24"/>
        </w:rPr>
        <w:t>财库〔2020〕46号</w:t>
      </w:r>
      <w:r>
        <w:rPr>
          <w:rFonts w:hint="eastAsia" w:ascii="宋体" w:hAnsi="宋体" w:eastAsia="宋体" w:cs="宋体"/>
          <w:color w:val="auto"/>
          <w:sz w:val="24"/>
          <w:szCs w:val="28"/>
        </w:rPr>
        <w:t>）的规定，本公司参加</w:t>
      </w:r>
      <w:r>
        <w:rPr>
          <w:rFonts w:hint="eastAsia" w:ascii="宋体" w:hAnsi="宋体" w:eastAsia="宋体" w:cs="宋体"/>
          <w:i/>
          <w:color w:val="auto"/>
          <w:sz w:val="24"/>
          <w:szCs w:val="28"/>
          <w:u w:val="single"/>
        </w:rPr>
        <w:t>（单位名称）</w:t>
      </w:r>
      <w:r>
        <w:rPr>
          <w:rFonts w:hint="eastAsia" w:ascii="宋体" w:hAnsi="宋体" w:eastAsia="宋体" w:cs="宋体"/>
          <w:color w:val="auto"/>
          <w:sz w:val="24"/>
          <w:szCs w:val="28"/>
        </w:rPr>
        <w:t>的</w:t>
      </w:r>
      <w:r>
        <w:rPr>
          <w:rFonts w:hint="eastAsia" w:ascii="宋体" w:hAnsi="宋体" w:eastAsia="宋体" w:cs="宋体"/>
          <w:i/>
          <w:color w:val="auto"/>
          <w:sz w:val="24"/>
          <w:szCs w:val="28"/>
          <w:u w:val="single"/>
        </w:rPr>
        <w:t>（项目名称）</w:t>
      </w:r>
      <w:r>
        <w:rPr>
          <w:rFonts w:hint="eastAsia" w:ascii="宋体" w:hAnsi="宋体" w:eastAsia="宋体" w:cs="宋体"/>
          <w:color w:val="auto"/>
          <w:sz w:val="24"/>
          <w:szCs w:val="28"/>
        </w:rPr>
        <w:t>采购活动，提供的货物全部由符合政策要求的中小企业制造。相关企业的具体情况如下：</w:t>
      </w:r>
    </w:p>
    <w:p w14:paraId="6E4292B2">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w:t>
      </w:r>
      <w:r>
        <w:rPr>
          <w:rFonts w:hint="eastAsia" w:ascii="宋体" w:hAnsi="宋体" w:eastAsia="宋体" w:cs="宋体"/>
          <w:i/>
          <w:color w:val="auto"/>
          <w:sz w:val="24"/>
          <w:szCs w:val="28"/>
          <w:u w:val="single"/>
        </w:rPr>
        <w:t>（标的名称）</w:t>
      </w:r>
      <w:r>
        <w:rPr>
          <w:rFonts w:hint="eastAsia" w:ascii="宋体" w:hAnsi="宋体" w:eastAsia="宋体" w:cs="宋体"/>
          <w:color w:val="auto"/>
          <w:sz w:val="24"/>
          <w:szCs w:val="28"/>
        </w:rPr>
        <w:t>，属于</w:t>
      </w:r>
      <w:r>
        <w:rPr>
          <w:rFonts w:hint="eastAsia" w:ascii="宋体" w:hAnsi="宋体" w:eastAsia="宋体" w:cs="宋体"/>
          <w:i/>
          <w:color w:val="auto"/>
          <w:sz w:val="24"/>
          <w:szCs w:val="28"/>
          <w:u w:val="single"/>
        </w:rPr>
        <w:t>（采购文件中明确的所属行业）行业</w:t>
      </w:r>
      <w:r>
        <w:rPr>
          <w:rFonts w:hint="eastAsia" w:ascii="宋体" w:hAnsi="宋体" w:eastAsia="宋体" w:cs="宋体"/>
          <w:color w:val="auto"/>
          <w:sz w:val="24"/>
          <w:szCs w:val="28"/>
        </w:rPr>
        <w:t>；制造商为</w:t>
      </w:r>
      <w:r>
        <w:rPr>
          <w:rFonts w:hint="eastAsia" w:ascii="宋体" w:hAnsi="宋体" w:eastAsia="宋体" w:cs="宋体"/>
          <w:i/>
          <w:color w:val="auto"/>
          <w:sz w:val="24"/>
          <w:szCs w:val="28"/>
          <w:u w:val="single"/>
        </w:rPr>
        <w:t>（企业名称）</w:t>
      </w:r>
      <w:r>
        <w:rPr>
          <w:rFonts w:hint="eastAsia" w:ascii="宋体" w:hAnsi="宋体" w:eastAsia="宋体" w:cs="宋体"/>
          <w:color w:val="auto"/>
          <w:sz w:val="24"/>
          <w:szCs w:val="28"/>
        </w:rPr>
        <w:t>，从业人员</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人，营业收入为</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万元，资产总额为</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万元，属于</w:t>
      </w:r>
      <w:r>
        <w:rPr>
          <w:rFonts w:hint="eastAsia" w:ascii="宋体" w:hAnsi="宋体" w:eastAsia="宋体" w:cs="宋体"/>
          <w:i/>
          <w:color w:val="auto"/>
          <w:sz w:val="24"/>
          <w:szCs w:val="28"/>
          <w:u w:val="single"/>
        </w:rPr>
        <w:t>（中型企业、小型企业、微型企业）</w:t>
      </w:r>
      <w:r>
        <w:rPr>
          <w:rFonts w:hint="eastAsia" w:ascii="宋体" w:hAnsi="宋体" w:eastAsia="宋体" w:cs="宋体"/>
          <w:color w:val="auto"/>
          <w:sz w:val="24"/>
          <w:szCs w:val="28"/>
        </w:rPr>
        <w:t>；</w:t>
      </w:r>
    </w:p>
    <w:p w14:paraId="0F9C5698">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w:t>
      </w:r>
      <w:r>
        <w:rPr>
          <w:rFonts w:hint="eastAsia" w:ascii="宋体" w:hAnsi="宋体" w:eastAsia="宋体" w:cs="宋体"/>
          <w:i/>
          <w:color w:val="auto"/>
          <w:sz w:val="24"/>
          <w:szCs w:val="28"/>
          <w:u w:val="single"/>
        </w:rPr>
        <w:t>（标的名称）</w:t>
      </w:r>
      <w:r>
        <w:rPr>
          <w:rFonts w:hint="eastAsia" w:ascii="宋体" w:hAnsi="宋体" w:eastAsia="宋体" w:cs="宋体"/>
          <w:color w:val="auto"/>
          <w:sz w:val="24"/>
          <w:szCs w:val="28"/>
        </w:rPr>
        <w:t>，属于</w:t>
      </w:r>
      <w:r>
        <w:rPr>
          <w:rFonts w:hint="eastAsia" w:ascii="宋体" w:hAnsi="宋体" w:eastAsia="宋体" w:cs="宋体"/>
          <w:i/>
          <w:color w:val="auto"/>
          <w:sz w:val="24"/>
          <w:szCs w:val="28"/>
          <w:u w:val="single"/>
        </w:rPr>
        <w:t>（采购文件中明确的所属行业）行业</w:t>
      </w:r>
      <w:r>
        <w:rPr>
          <w:rFonts w:hint="eastAsia" w:ascii="宋体" w:hAnsi="宋体" w:eastAsia="宋体" w:cs="宋体"/>
          <w:color w:val="auto"/>
          <w:sz w:val="24"/>
          <w:szCs w:val="28"/>
        </w:rPr>
        <w:t>；制造商为</w:t>
      </w:r>
      <w:r>
        <w:rPr>
          <w:rFonts w:hint="eastAsia" w:ascii="宋体" w:hAnsi="宋体" w:eastAsia="宋体" w:cs="宋体"/>
          <w:i/>
          <w:color w:val="auto"/>
          <w:sz w:val="24"/>
          <w:szCs w:val="28"/>
          <w:u w:val="single"/>
        </w:rPr>
        <w:t>（企业名称）</w:t>
      </w:r>
      <w:r>
        <w:rPr>
          <w:rFonts w:hint="eastAsia" w:ascii="宋体" w:hAnsi="宋体" w:eastAsia="宋体" w:cs="宋体"/>
          <w:color w:val="auto"/>
          <w:sz w:val="24"/>
          <w:szCs w:val="28"/>
        </w:rPr>
        <w:t>，从业人员</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人，营业收入为</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万元，资产总额为</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万元，属于</w:t>
      </w:r>
      <w:r>
        <w:rPr>
          <w:rFonts w:hint="eastAsia" w:ascii="宋体" w:hAnsi="宋体" w:eastAsia="宋体" w:cs="宋体"/>
          <w:i/>
          <w:color w:val="auto"/>
          <w:sz w:val="24"/>
          <w:szCs w:val="28"/>
          <w:u w:val="single"/>
        </w:rPr>
        <w:t>（中型企业、小型企业、微型企业）</w:t>
      </w:r>
      <w:r>
        <w:rPr>
          <w:rFonts w:hint="eastAsia" w:ascii="宋体" w:hAnsi="宋体" w:eastAsia="宋体" w:cs="宋体"/>
          <w:color w:val="auto"/>
          <w:sz w:val="24"/>
          <w:szCs w:val="28"/>
        </w:rPr>
        <w:t>；</w:t>
      </w:r>
    </w:p>
    <w:p w14:paraId="33250C5D">
      <w:pPr>
        <w:tabs>
          <w:tab w:val="left" w:pos="6300"/>
        </w:tabs>
        <w:snapToGrid w:val="0"/>
        <w:spacing w:line="500" w:lineRule="exact"/>
        <w:ind w:right="782" w:firstLine="480" w:firstLineChars="200"/>
        <w:rPr>
          <w:rFonts w:hint="eastAsia" w:ascii="宋体" w:hAnsi="宋体" w:eastAsia="宋体" w:cs="宋体"/>
          <w:color w:val="auto"/>
          <w:sz w:val="24"/>
        </w:rPr>
      </w:pPr>
      <w:r>
        <w:rPr>
          <w:rFonts w:hint="eastAsia" w:ascii="宋体" w:hAnsi="宋体" w:eastAsia="宋体" w:cs="宋体"/>
          <w:color w:val="auto"/>
          <w:sz w:val="24"/>
        </w:rPr>
        <w:t>……</w:t>
      </w:r>
    </w:p>
    <w:p w14:paraId="172CF114">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以上企业，不属于大企业的分支机构，不存在控股股东为大企业的情形，也不存在与大企业的负责人为同一人的情形。</w:t>
      </w:r>
    </w:p>
    <w:p w14:paraId="56B5183A">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本企业对上述声明内容的真实性负责。如有虚假，将依法承担相应责任。</w:t>
      </w:r>
    </w:p>
    <w:p w14:paraId="3DD04EA5">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p>
    <w:p w14:paraId="79FA19FC">
      <w:pPr>
        <w:tabs>
          <w:tab w:val="left" w:pos="6300"/>
        </w:tabs>
        <w:snapToGrid w:val="0"/>
        <w:spacing w:line="500" w:lineRule="exact"/>
        <w:ind w:firstLine="6120" w:firstLineChars="2550"/>
        <w:rPr>
          <w:rFonts w:hint="eastAsia" w:ascii="宋体" w:hAnsi="宋体" w:eastAsia="宋体" w:cs="宋体"/>
          <w:color w:val="auto"/>
          <w:sz w:val="24"/>
          <w:szCs w:val="28"/>
        </w:rPr>
      </w:pPr>
      <w:r>
        <w:rPr>
          <w:rFonts w:hint="eastAsia" w:ascii="宋体" w:hAnsi="宋体" w:eastAsia="宋体" w:cs="宋体"/>
          <w:color w:val="auto"/>
          <w:sz w:val="24"/>
          <w:szCs w:val="28"/>
        </w:rPr>
        <w:t xml:space="preserve">企业名称（盖章）： </w:t>
      </w:r>
    </w:p>
    <w:p w14:paraId="674BE938">
      <w:pPr>
        <w:tabs>
          <w:tab w:val="left" w:pos="6300"/>
        </w:tabs>
        <w:snapToGrid w:val="0"/>
        <w:spacing w:line="500" w:lineRule="exact"/>
        <w:ind w:firstLine="6120" w:firstLineChars="2550"/>
        <w:rPr>
          <w:rFonts w:hint="eastAsia" w:ascii="宋体" w:hAnsi="宋体" w:eastAsia="宋体" w:cs="宋体"/>
          <w:color w:val="auto"/>
          <w:sz w:val="24"/>
          <w:szCs w:val="28"/>
        </w:rPr>
      </w:pPr>
      <w:r>
        <w:rPr>
          <w:rFonts w:hint="eastAsia" w:ascii="宋体" w:hAnsi="宋体" w:eastAsia="宋体" w:cs="宋体"/>
          <w:color w:val="auto"/>
          <w:sz w:val="24"/>
          <w:szCs w:val="28"/>
        </w:rPr>
        <w:t>日期：</w:t>
      </w:r>
    </w:p>
    <w:p w14:paraId="50305DCA">
      <w:pPr>
        <w:tabs>
          <w:tab w:val="left" w:pos="6300"/>
        </w:tabs>
        <w:snapToGrid w:val="0"/>
        <w:spacing w:line="420" w:lineRule="exact"/>
        <w:jc w:val="left"/>
        <w:rPr>
          <w:rFonts w:hint="eastAsia" w:ascii="宋体" w:hAnsi="宋体" w:eastAsia="宋体" w:cs="宋体"/>
          <w:color w:val="auto"/>
          <w:kern w:val="0"/>
          <w:sz w:val="21"/>
          <w:szCs w:val="21"/>
        </w:rPr>
      </w:pPr>
    </w:p>
    <w:p w14:paraId="4B228053">
      <w:pPr>
        <w:tabs>
          <w:tab w:val="left" w:pos="6300"/>
        </w:tabs>
        <w:snapToGrid w:val="0"/>
        <w:spacing w:line="420" w:lineRule="exact"/>
        <w:jc w:val="left"/>
        <w:rPr>
          <w:rFonts w:hint="eastAsia" w:ascii="宋体" w:hAnsi="宋体" w:eastAsia="宋体" w:cs="宋体"/>
          <w:color w:val="auto"/>
          <w:kern w:val="0"/>
          <w:sz w:val="21"/>
          <w:szCs w:val="21"/>
        </w:rPr>
      </w:pPr>
    </w:p>
    <w:p w14:paraId="79D61E63">
      <w:pPr>
        <w:tabs>
          <w:tab w:val="left" w:pos="6300"/>
        </w:tabs>
        <w:snapToGrid w:val="0"/>
        <w:spacing w:line="420" w:lineRule="exact"/>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填写时应注意以下事项：</w:t>
      </w:r>
    </w:p>
    <w:p w14:paraId="159C5C45">
      <w:pPr>
        <w:tabs>
          <w:tab w:val="left" w:pos="6300"/>
        </w:tabs>
        <w:snapToGrid w:val="0"/>
        <w:spacing w:line="42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1.从业人员、营业收入、资产总额填报上一年度数据，无上一年度数据的新成立企业可不填报。</w:t>
      </w:r>
    </w:p>
    <w:p w14:paraId="507A3646">
      <w:pPr>
        <w:tabs>
          <w:tab w:val="left" w:pos="6300"/>
        </w:tabs>
        <w:snapToGrid w:val="0"/>
        <w:spacing w:line="42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2.中小企业应当按照《中小企业划型标准规定》（工信部联企业〔2011〕300号），如实填写并提交《中小企业声明函》。</w:t>
      </w:r>
    </w:p>
    <w:p w14:paraId="6AA794CC">
      <w:pPr>
        <w:tabs>
          <w:tab w:val="left" w:pos="6300"/>
        </w:tabs>
        <w:snapToGrid w:val="0"/>
        <w:spacing w:line="42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3.投标人填写《中小企业声明函》中所属行业时，应与采购文件第一篇“采购标的对应的中小企业划分标准所属行业”中填写的所属行业一致。</w:t>
      </w:r>
    </w:p>
    <w:p w14:paraId="4E5721E4">
      <w:pPr>
        <w:tabs>
          <w:tab w:val="left" w:pos="6300"/>
        </w:tabs>
        <w:snapToGrid w:val="0"/>
        <w:spacing w:line="420" w:lineRule="exact"/>
        <w:ind w:firstLine="422" w:firstLineChars="200"/>
        <w:jc w:val="left"/>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4.本声明函“企业名称（盖章）”处为投标人盖章。</w:t>
      </w:r>
    </w:p>
    <w:p w14:paraId="0C05A6EB">
      <w:pPr>
        <w:tabs>
          <w:tab w:val="left" w:pos="6300"/>
        </w:tabs>
        <w:snapToGrid w:val="0"/>
        <w:spacing w:line="420" w:lineRule="exact"/>
        <w:ind w:firstLine="422" w:firstLineChars="200"/>
        <w:jc w:val="left"/>
        <w:rPr>
          <w:rFonts w:hint="eastAsia" w:ascii="宋体" w:hAnsi="宋体" w:eastAsia="宋体" w:cs="宋体"/>
          <w:b/>
          <w:color w:val="auto"/>
          <w:kern w:val="0"/>
          <w:sz w:val="21"/>
          <w:szCs w:val="21"/>
        </w:rPr>
      </w:pPr>
    </w:p>
    <w:p w14:paraId="70775678">
      <w:pPr>
        <w:tabs>
          <w:tab w:val="left" w:pos="6300"/>
        </w:tabs>
        <w:snapToGrid w:val="0"/>
        <w:spacing w:line="500" w:lineRule="exact"/>
        <w:rPr>
          <w:rFonts w:hint="eastAsia" w:ascii="宋体" w:hAnsi="宋体" w:eastAsia="宋体" w:cs="宋体"/>
          <w:color w:val="auto"/>
          <w:sz w:val="21"/>
          <w:szCs w:val="21"/>
        </w:rPr>
      </w:pPr>
      <w:r>
        <w:rPr>
          <w:rFonts w:hint="eastAsia" w:ascii="宋体" w:hAnsi="宋体" w:eastAsia="宋体" w:cs="宋体"/>
          <w:color w:val="auto"/>
          <w:sz w:val="24"/>
          <w:szCs w:val="28"/>
        </w:rPr>
        <w:br w:type="page"/>
      </w:r>
      <w:r>
        <w:rPr>
          <w:rFonts w:hint="eastAsia" w:ascii="宋体" w:hAnsi="宋体" w:eastAsia="宋体" w:cs="宋体"/>
          <w:color w:val="auto"/>
          <w:sz w:val="21"/>
          <w:szCs w:val="21"/>
        </w:rPr>
        <w:t>注：各行业划型标准：</w:t>
      </w:r>
    </w:p>
    <w:p w14:paraId="4183A9EC">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（一）农、林、牧、渔业。营业收入20000万元以下的为中小微型企业。其中，营业收入500万元及以上的为中型企业，营业收入50万元及以上的为小型企业，营业收入50万元以下的为微型企业。</w:t>
      </w:r>
    </w:p>
    <w:p w14:paraId="38D8B072">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52363D">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6DF45A1">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30B8D91">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2D1AA3A">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3A01669">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5F430E5">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2E0D36">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86671C6">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1B4ECE">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27220A3">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5E11E67">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155118A">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CA5E4E">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2D7E261">
      <w:pPr>
        <w:tabs>
          <w:tab w:val="left" w:pos="6300"/>
        </w:tabs>
        <w:snapToGrid w:val="0"/>
        <w:spacing w:line="4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（十六）其他未列明行业。从业人员300人以下的为中小微型企业。其中，从业人员100人及以上的为中型企业；从业人员10人及以上的为小型企业；从业人员10人以下的为微型企业。</w:t>
      </w:r>
    </w:p>
    <w:p w14:paraId="74D61217">
      <w:pPr>
        <w:tabs>
          <w:tab w:val="left" w:pos="6300"/>
        </w:tabs>
        <w:snapToGrid w:val="0"/>
        <w:spacing w:line="500" w:lineRule="exact"/>
        <w:ind w:firstLine="560"/>
        <w:jc w:val="center"/>
        <w:rPr>
          <w:rFonts w:hint="eastAsia" w:ascii="宋体" w:hAnsi="宋体" w:eastAsia="宋体" w:cs="宋体"/>
          <w:color w:val="auto"/>
          <w:szCs w:val="28"/>
        </w:rPr>
      </w:pPr>
      <w:r>
        <w:rPr>
          <w:rFonts w:hint="eastAsia" w:ascii="宋体" w:hAnsi="宋体" w:eastAsia="宋体" w:cs="宋体"/>
          <w:color w:val="auto"/>
        </w:rPr>
        <w:br w:type="page"/>
      </w:r>
      <w:r>
        <w:rPr>
          <w:rFonts w:hint="eastAsia" w:ascii="宋体" w:hAnsi="宋体" w:eastAsia="宋体" w:cs="宋体"/>
          <w:color w:val="auto"/>
          <w:szCs w:val="28"/>
        </w:rPr>
        <w:t>监狱企业证明文件</w:t>
      </w:r>
    </w:p>
    <w:p w14:paraId="7C1C08B9">
      <w:pPr>
        <w:tabs>
          <w:tab w:val="left" w:pos="6300"/>
        </w:tabs>
        <w:snapToGrid w:val="0"/>
        <w:spacing w:line="400" w:lineRule="exact"/>
        <w:ind w:firstLine="561"/>
        <w:jc w:val="left"/>
        <w:rPr>
          <w:rFonts w:hint="eastAsia" w:ascii="宋体" w:hAnsi="宋体" w:eastAsia="宋体" w:cs="宋体"/>
          <w:color w:val="auto"/>
          <w:sz w:val="24"/>
          <w:szCs w:val="24"/>
        </w:rPr>
      </w:pPr>
      <w:r>
        <w:rPr>
          <w:rFonts w:hint="eastAsia" w:ascii="宋体" w:hAnsi="宋体" w:eastAsia="宋体" w:cs="宋体"/>
          <w:color w:val="auto"/>
          <w:sz w:val="24"/>
          <w:szCs w:val="24"/>
        </w:rPr>
        <w:t>【以省级以上监狱管理局、戒毒管理局（含新疆生产建设兵团）出具的属于监狱企业的证明文件为准】</w:t>
      </w:r>
    </w:p>
    <w:p w14:paraId="50D6DD0B">
      <w:pPr>
        <w:tabs>
          <w:tab w:val="left" w:pos="6300"/>
        </w:tabs>
        <w:snapToGrid w:val="0"/>
        <w:spacing w:line="400" w:lineRule="exact"/>
        <w:ind w:firstLine="561"/>
        <w:jc w:val="center"/>
        <w:rPr>
          <w:rFonts w:hint="eastAsia" w:ascii="宋体" w:hAnsi="宋体" w:eastAsia="宋体" w:cs="宋体"/>
          <w:color w:val="auto"/>
          <w:szCs w:val="28"/>
        </w:rPr>
      </w:pPr>
      <w:r>
        <w:rPr>
          <w:rFonts w:hint="eastAsia" w:ascii="宋体" w:hAnsi="宋体" w:eastAsia="宋体" w:cs="宋体"/>
          <w:color w:val="auto"/>
          <w:szCs w:val="28"/>
        </w:rPr>
        <w:br w:type="page"/>
      </w:r>
      <w:r>
        <w:rPr>
          <w:rFonts w:hint="eastAsia" w:ascii="宋体" w:hAnsi="宋体" w:eastAsia="宋体" w:cs="宋体"/>
          <w:color w:val="auto"/>
        </w:rPr>
        <w:t xml:space="preserve"> </w:t>
      </w:r>
      <w:r>
        <w:rPr>
          <w:rFonts w:hint="eastAsia" w:ascii="宋体" w:hAnsi="宋体" w:eastAsia="宋体" w:cs="宋体"/>
          <w:color w:val="auto"/>
          <w:szCs w:val="28"/>
        </w:rPr>
        <w:t>残疾人福利性单位声明函</w:t>
      </w:r>
    </w:p>
    <w:p w14:paraId="0AFC7C67">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FA4197">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3765D728">
      <w:pPr>
        <w:tabs>
          <w:tab w:val="left" w:pos="6300"/>
        </w:tabs>
        <w:snapToGrid w:val="0"/>
        <w:spacing w:line="500" w:lineRule="exact"/>
        <w:ind w:firstLine="480" w:firstLineChars="200"/>
        <w:rPr>
          <w:rFonts w:hint="eastAsia" w:ascii="宋体" w:hAnsi="宋体" w:eastAsia="宋体" w:cs="宋体"/>
          <w:color w:val="auto"/>
          <w:sz w:val="24"/>
        </w:rPr>
      </w:pPr>
    </w:p>
    <w:p w14:paraId="3873F7C1">
      <w:pPr>
        <w:tabs>
          <w:tab w:val="left" w:pos="6300"/>
        </w:tabs>
        <w:snapToGrid w:val="0"/>
        <w:spacing w:line="500" w:lineRule="exact"/>
        <w:ind w:firstLine="480" w:firstLineChars="200"/>
        <w:rPr>
          <w:rFonts w:hint="eastAsia" w:ascii="宋体" w:hAnsi="宋体" w:eastAsia="宋体" w:cs="宋体"/>
          <w:color w:val="auto"/>
          <w:sz w:val="24"/>
        </w:rPr>
      </w:pPr>
    </w:p>
    <w:p w14:paraId="2ACD22E1">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投标人名称（盖章）：</w:t>
      </w:r>
    </w:p>
    <w:p w14:paraId="505C68F9">
      <w:pPr>
        <w:tabs>
          <w:tab w:val="left" w:pos="6300"/>
        </w:tabs>
        <w:snapToGrid w:val="0"/>
        <w:spacing w:line="500" w:lineRule="exact"/>
        <w:ind w:firstLine="570"/>
        <w:jc w:val="left"/>
        <w:rPr>
          <w:rFonts w:hint="eastAsia" w:ascii="宋体" w:hAnsi="宋体" w:eastAsia="宋体" w:cs="宋体"/>
          <w:color w:val="auto"/>
          <w:sz w:val="24"/>
        </w:rPr>
      </w:pPr>
      <w:r>
        <w:rPr>
          <w:rFonts w:hint="eastAsia" w:ascii="宋体" w:hAnsi="宋体" w:eastAsia="宋体" w:cs="宋体"/>
          <w:color w:val="auto"/>
          <w:sz w:val="24"/>
        </w:rPr>
        <w:t xml:space="preserve">                                                日   期：</w:t>
      </w:r>
    </w:p>
    <w:p w14:paraId="5A8403F0">
      <w:pPr>
        <w:tabs>
          <w:tab w:val="left" w:pos="6300"/>
        </w:tabs>
        <w:snapToGrid w:val="0"/>
        <w:spacing w:line="500" w:lineRule="exact"/>
        <w:ind w:firstLine="570"/>
        <w:jc w:val="left"/>
        <w:rPr>
          <w:rFonts w:hint="eastAsia" w:ascii="宋体" w:hAnsi="宋体" w:eastAsia="宋体" w:cs="宋体"/>
          <w:color w:val="auto"/>
          <w:sz w:val="24"/>
        </w:rPr>
      </w:pPr>
    </w:p>
    <w:p w14:paraId="6B5456A6">
      <w:pPr>
        <w:tabs>
          <w:tab w:val="left" w:pos="6300"/>
        </w:tabs>
        <w:snapToGrid w:val="0"/>
        <w:spacing w:line="500" w:lineRule="exact"/>
        <w:ind w:firstLine="570"/>
        <w:jc w:val="left"/>
        <w:rPr>
          <w:rFonts w:hint="eastAsia" w:ascii="宋体" w:hAnsi="宋体" w:eastAsia="宋体" w:cs="宋体"/>
          <w:color w:val="auto"/>
          <w:sz w:val="24"/>
        </w:rPr>
      </w:pPr>
    </w:p>
    <w:p w14:paraId="221D191A">
      <w:pPr>
        <w:tabs>
          <w:tab w:val="left" w:pos="6300"/>
        </w:tabs>
        <w:snapToGrid w:val="0"/>
        <w:spacing w:line="500" w:lineRule="exact"/>
        <w:ind w:firstLine="570"/>
        <w:jc w:val="left"/>
        <w:rPr>
          <w:rFonts w:hint="eastAsia" w:ascii="宋体" w:hAnsi="宋体" w:eastAsia="宋体" w:cs="宋体"/>
          <w:color w:val="auto"/>
          <w:sz w:val="24"/>
        </w:rPr>
      </w:pPr>
    </w:p>
    <w:p w14:paraId="06959CE1">
      <w:pPr>
        <w:tabs>
          <w:tab w:val="left" w:pos="6300"/>
        </w:tabs>
        <w:snapToGrid w:val="0"/>
        <w:spacing w:line="500" w:lineRule="exact"/>
        <w:ind w:firstLine="570"/>
        <w:jc w:val="left"/>
        <w:rPr>
          <w:rFonts w:hint="eastAsia" w:ascii="宋体" w:hAnsi="宋体" w:eastAsia="宋体" w:cs="宋体"/>
          <w:color w:val="auto"/>
          <w:sz w:val="24"/>
        </w:rPr>
      </w:pPr>
    </w:p>
    <w:p w14:paraId="751910F7">
      <w:pPr>
        <w:tabs>
          <w:tab w:val="left" w:pos="6300"/>
        </w:tabs>
        <w:snapToGrid w:val="0"/>
        <w:spacing w:line="500" w:lineRule="exact"/>
        <w:ind w:firstLine="570"/>
        <w:jc w:val="left"/>
        <w:rPr>
          <w:rFonts w:hint="eastAsia" w:ascii="宋体" w:hAnsi="宋体" w:eastAsia="宋体" w:cs="宋体"/>
          <w:color w:val="auto"/>
          <w:sz w:val="24"/>
        </w:rPr>
      </w:pPr>
    </w:p>
    <w:p w14:paraId="15753391">
      <w:pPr>
        <w:tabs>
          <w:tab w:val="left" w:pos="6300"/>
        </w:tabs>
        <w:snapToGrid w:val="0"/>
        <w:spacing w:line="500" w:lineRule="exact"/>
        <w:ind w:firstLine="570"/>
        <w:jc w:val="left"/>
        <w:rPr>
          <w:rFonts w:hint="eastAsia" w:ascii="宋体" w:hAnsi="宋体" w:eastAsia="宋体" w:cs="宋体"/>
          <w:color w:val="auto"/>
          <w:sz w:val="24"/>
        </w:rPr>
      </w:pPr>
    </w:p>
    <w:p w14:paraId="61DE3786">
      <w:pPr>
        <w:tabs>
          <w:tab w:val="left" w:pos="6300"/>
        </w:tabs>
        <w:snapToGrid w:val="0"/>
        <w:spacing w:line="500" w:lineRule="exact"/>
        <w:ind w:firstLine="570"/>
        <w:jc w:val="left"/>
        <w:rPr>
          <w:rFonts w:hint="eastAsia" w:ascii="宋体" w:hAnsi="宋体" w:eastAsia="宋体" w:cs="宋体"/>
          <w:color w:val="auto"/>
          <w:sz w:val="24"/>
        </w:rPr>
      </w:pPr>
    </w:p>
    <w:p w14:paraId="5404F8FF">
      <w:pPr>
        <w:tabs>
          <w:tab w:val="left" w:pos="6300"/>
        </w:tabs>
        <w:snapToGrid w:val="0"/>
        <w:spacing w:line="500" w:lineRule="exact"/>
        <w:ind w:firstLine="570"/>
        <w:jc w:val="left"/>
        <w:rPr>
          <w:rFonts w:hint="eastAsia" w:ascii="宋体" w:hAnsi="宋体" w:eastAsia="宋体" w:cs="宋体"/>
          <w:color w:val="auto"/>
          <w:sz w:val="24"/>
        </w:rPr>
      </w:pPr>
    </w:p>
    <w:p w14:paraId="1B0E254A">
      <w:pPr>
        <w:tabs>
          <w:tab w:val="left" w:pos="6300"/>
        </w:tabs>
        <w:snapToGrid w:val="0"/>
        <w:spacing w:line="500" w:lineRule="exact"/>
        <w:ind w:firstLine="570"/>
        <w:jc w:val="left"/>
        <w:rPr>
          <w:rFonts w:hint="eastAsia" w:ascii="宋体" w:hAnsi="宋体" w:eastAsia="宋体" w:cs="宋体"/>
          <w:color w:val="auto"/>
          <w:sz w:val="24"/>
        </w:rPr>
      </w:pPr>
    </w:p>
    <w:p w14:paraId="516BF3A4">
      <w:pPr>
        <w:tabs>
          <w:tab w:val="left" w:pos="6300"/>
        </w:tabs>
        <w:snapToGrid w:val="0"/>
        <w:spacing w:line="500" w:lineRule="exact"/>
        <w:ind w:firstLine="570"/>
        <w:jc w:val="left"/>
        <w:rPr>
          <w:rFonts w:hint="eastAsia" w:ascii="宋体" w:hAnsi="宋体" w:eastAsia="宋体" w:cs="宋体"/>
          <w:color w:val="auto"/>
          <w:sz w:val="24"/>
        </w:rPr>
      </w:pPr>
    </w:p>
    <w:p w14:paraId="35D56627">
      <w:pPr>
        <w:tabs>
          <w:tab w:val="left" w:pos="6300"/>
        </w:tabs>
        <w:snapToGrid w:val="0"/>
        <w:spacing w:line="500" w:lineRule="exact"/>
        <w:ind w:firstLine="570"/>
        <w:jc w:val="left"/>
        <w:rPr>
          <w:rFonts w:hint="eastAsia" w:ascii="宋体" w:hAnsi="宋体" w:eastAsia="宋体" w:cs="宋体"/>
          <w:color w:val="auto"/>
        </w:rPr>
      </w:pPr>
      <w:r>
        <w:rPr>
          <w:rFonts w:hint="eastAsia" w:ascii="宋体" w:hAnsi="宋体" w:eastAsia="宋体" w:cs="宋体"/>
          <w:color w:val="auto"/>
          <w:kern w:val="0"/>
          <w:sz w:val="24"/>
        </w:rPr>
        <w:t>若中标人为残疾人福利性单位的，将在结果公告时公告其《残疾人福利性单位声明函》。</w:t>
      </w:r>
    </w:p>
    <w:p w14:paraId="6CEFCDF2">
      <w:pPr>
        <w:numPr>
          <w:ilvl w:val="0"/>
          <w:numId w:val="0"/>
        </w:numPr>
        <w:spacing w:line="400" w:lineRule="exact"/>
        <w:ind w:leftChars="200"/>
        <w:rPr>
          <w:rFonts w:hint="eastAsia" w:ascii="宋体" w:hAnsi="宋体" w:eastAsia="宋体" w:cs="宋体"/>
          <w:color w:val="auto"/>
          <w:sz w:val="24"/>
          <w:szCs w:val="28"/>
        </w:rPr>
      </w:pPr>
      <w:r>
        <w:rPr>
          <w:rFonts w:hint="eastAsia" w:ascii="宋体" w:hAnsi="宋体" w:eastAsia="宋体" w:cs="宋体"/>
          <w:color w:val="auto"/>
        </w:rPr>
        <w:br w:type="page"/>
      </w:r>
      <w:r>
        <w:rPr>
          <w:rFonts w:hint="eastAsia" w:ascii="宋体" w:hAnsi="宋体" w:eastAsia="宋体" w:cs="宋体"/>
          <w:color w:val="auto"/>
          <w:sz w:val="24"/>
          <w:szCs w:val="28"/>
        </w:rPr>
        <w:t>（</w:t>
      </w:r>
      <w:r>
        <w:rPr>
          <w:rFonts w:hint="eastAsia" w:ascii="宋体" w:hAnsi="宋体" w:eastAsia="宋体" w:cs="宋体"/>
          <w:color w:val="auto"/>
          <w:sz w:val="24"/>
          <w:szCs w:val="28"/>
          <w:lang w:val="en-US" w:eastAsia="zh-CN"/>
        </w:rPr>
        <w:t>二</w:t>
      </w:r>
      <w:r>
        <w:rPr>
          <w:rFonts w:hint="eastAsia" w:ascii="宋体" w:hAnsi="宋体" w:eastAsia="宋体" w:cs="宋体"/>
          <w:color w:val="auto"/>
          <w:sz w:val="24"/>
          <w:szCs w:val="28"/>
        </w:rPr>
        <w:t>）其他与项目有关的资料（自附）</w:t>
      </w:r>
    </w:p>
    <w:p w14:paraId="67261578">
      <w:pPr>
        <w:numPr>
          <w:ilvl w:val="0"/>
          <w:numId w:val="0"/>
        </w:numPr>
        <w:ind w:leftChars="200"/>
        <w:jc w:val="both"/>
        <w:outlineLvl w:val="9"/>
        <w:rPr>
          <w:rFonts w:hint="eastAsia" w:ascii="宋体" w:hAnsi="宋体" w:eastAsia="宋体" w:cs="宋体"/>
          <w:color w:val="auto"/>
        </w:rPr>
      </w:pPr>
    </w:p>
    <w:p w14:paraId="21EB0FC2">
      <w:pPr>
        <w:numPr>
          <w:ilvl w:val="0"/>
          <w:numId w:val="0"/>
        </w:numPr>
        <w:ind w:leftChars="200"/>
        <w:jc w:val="both"/>
        <w:outlineLvl w:val="9"/>
        <w:rPr>
          <w:rFonts w:hint="eastAsia" w:ascii="宋体" w:hAnsi="宋体" w:eastAsia="宋体" w:cs="宋体"/>
          <w:color w:val="auto"/>
        </w:rPr>
      </w:pPr>
    </w:p>
    <w:p w14:paraId="7F9E817B">
      <w:pPr>
        <w:numPr>
          <w:ilvl w:val="0"/>
          <w:numId w:val="0"/>
        </w:numPr>
        <w:ind w:leftChars="200"/>
        <w:jc w:val="both"/>
        <w:outlineLvl w:val="9"/>
        <w:rPr>
          <w:rFonts w:hint="eastAsia" w:ascii="宋体" w:hAnsi="宋体" w:eastAsia="宋体" w:cs="宋体"/>
          <w:color w:val="auto"/>
        </w:rPr>
      </w:pPr>
    </w:p>
    <w:p w14:paraId="3F80C3BA">
      <w:pPr>
        <w:numPr>
          <w:ilvl w:val="0"/>
          <w:numId w:val="0"/>
        </w:numPr>
        <w:ind w:leftChars="200"/>
        <w:jc w:val="both"/>
        <w:outlineLvl w:val="9"/>
        <w:rPr>
          <w:rFonts w:hint="eastAsia" w:ascii="宋体" w:hAnsi="宋体" w:eastAsia="宋体" w:cs="宋体"/>
          <w:color w:val="auto"/>
        </w:rPr>
      </w:pPr>
    </w:p>
    <w:p w14:paraId="4835CE22">
      <w:pPr>
        <w:numPr>
          <w:ilvl w:val="0"/>
          <w:numId w:val="0"/>
        </w:numPr>
        <w:ind w:leftChars="200"/>
        <w:jc w:val="both"/>
        <w:outlineLvl w:val="9"/>
        <w:rPr>
          <w:rFonts w:hint="eastAsia" w:ascii="宋体" w:hAnsi="宋体" w:eastAsia="宋体" w:cs="宋体"/>
          <w:color w:val="auto"/>
        </w:rPr>
      </w:pPr>
    </w:p>
    <w:p w14:paraId="413B1311">
      <w:pPr>
        <w:numPr>
          <w:ilvl w:val="0"/>
          <w:numId w:val="0"/>
        </w:numPr>
        <w:ind w:leftChars="200"/>
        <w:jc w:val="both"/>
        <w:outlineLvl w:val="9"/>
        <w:rPr>
          <w:rFonts w:hint="eastAsia" w:ascii="宋体" w:hAnsi="宋体" w:eastAsia="宋体" w:cs="宋体"/>
          <w:color w:val="auto"/>
        </w:rPr>
      </w:pPr>
    </w:p>
    <w:p w14:paraId="76CD57F4">
      <w:pPr>
        <w:numPr>
          <w:ilvl w:val="0"/>
          <w:numId w:val="0"/>
        </w:numPr>
        <w:ind w:leftChars="200"/>
        <w:jc w:val="both"/>
        <w:outlineLvl w:val="9"/>
        <w:rPr>
          <w:rFonts w:hint="eastAsia" w:ascii="宋体" w:hAnsi="宋体" w:eastAsia="宋体" w:cs="宋体"/>
          <w:color w:val="auto"/>
        </w:rPr>
      </w:pPr>
    </w:p>
    <w:p w14:paraId="1A5C1FB6">
      <w:pPr>
        <w:numPr>
          <w:ilvl w:val="0"/>
          <w:numId w:val="0"/>
        </w:numPr>
        <w:ind w:leftChars="200"/>
        <w:jc w:val="both"/>
        <w:outlineLvl w:val="9"/>
        <w:rPr>
          <w:rFonts w:hint="eastAsia" w:ascii="宋体" w:hAnsi="宋体" w:eastAsia="宋体" w:cs="宋体"/>
          <w:color w:val="auto"/>
        </w:rPr>
      </w:pPr>
    </w:p>
    <w:p w14:paraId="1DDB3737">
      <w:pPr>
        <w:numPr>
          <w:ilvl w:val="0"/>
          <w:numId w:val="0"/>
        </w:numPr>
        <w:ind w:leftChars="200"/>
        <w:jc w:val="both"/>
        <w:outlineLvl w:val="9"/>
        <w:rPr>
          <w:rFonts w:hint="eastAsia" w:ascii="宋体" w:hAnsi="宋体" w:eastAsia="宋体" w:cs="宋体"/>
          <w:color w:val="auto"/>
        </w:rPr>
      </w:pPr>
    </w:p>
    <w:p w14:paraId="6ACBA3D5">
      <w:pPr>
        <w:numPr>
          <w:ilvl w:val="0"/>
          <w:numId w:val="0"/>
        </w:numPr>
        <w:ind w:leftChars="200"/>
        <w:jc w:val="both"/>
        <w:outlineLvl w:val="9"/>
        <w:rPr>
          <w:rFonts w:hint="eastAsia" w:ascii="宋体" w:hAnsi="宋体" w:eastAsia="宋体" w:cs="宋体"/>
          <w:color w:val="auto"/>
        </w:rPr>
      </w:pPr>
    </w:p>
    <w:p w14:paraId="7C752047">
      <w:pPr>
        <w:numPr>
          <w:ilvl w:val="0"/>
          <w:numId w:val="0"/>
        </w:numPr>
        <w:ind w:leftChars="200"/>
        <w:jc w:val="both"/>
        <w:outlineLvl w:val="9"/>
        <w:rPr>
          <w:rFonts w:hint="eastAsia" w:ascii="宋体" w:hAnsi="宋体" w:eastAsia="宋体" w:cs="宋体"/>
          <w:color w:val="auto"/>
        </w:rPr>
      </w:pPr>
    </w:p>
    <w:p w14:paraId="2FDCF589">
      <w:pPr>
        <w:numPr>
          <w:ilvl w:val="0"/>
          <w:numId w:val="0"/>
        </w:numPr>
        <w:ind w:leftChars="200"/>
        <w:jc w:val="both"/>
        <w:outlineLvl w:val="9"/>
        <w:rPr>
          <w:rFonts w:hint="eastAsia" w:ascii="宋体" w:hAnsi="宋体" w:eastAsia="宋体" w:cs="宋体"/>
          <w:color w:val="auto"/>
        </w:rPr>
      </w:pPr>
    </w:p>
    <w:p w14:paraId="021D5C6B">
      <w:pPr>
        <w:numPr>
          <w:ilvl w:val="0"/>
          <w:numId w:val="0"/>
        </w:numPr>
        <w:ind w:leftChars="200"/>
        <w:jc w:val="both"/>
        <w:outlineLvl w:val="9"/>
        <w:rPr>
          <w:rFonts w:hint="eastAsia" w:ascii="宋体" w:hAnsi="宋体" w:eastAsia="宋体" w:cs="宋体"/>
          <w:color w:val="auto"/>
        </w:rPr>
      </w:pPr>
    </w:p>
    <w:p w14:paraId="4A08B33D">
      <w:pPr>
        <w:numPr>
          <w:ilvl w:val="0"/>
          <w:numId w:val="0"/>
        </w:numPr>
        <w:ind w:leftChars="200"/>
        <w:jc w:val="both"/>
        <w:outlineLvl w:val="9"/>
        <w:rPr>
          <w:rFonts w:hint="eastAsia" w:ascii="宋体" w:hAnsi="宋体" w:eastAsia="宋体" w:cs="宋体"/>
          <w:color w:val="auto"/>
        </w:rPr>
      </w:pPr>
    </w:p>
    <w:p w14:paraId="6FA792AD">
      <w:pPr>
        <w:numPr>
          <w:ilvl w:val="0"/>
          <w:numId w:val="0"/>
        </w:numPr>
        <w:ind w:leftChars="200"/>
        <w:jc w:val="both"/>
        <w:outlineLvl w:val="9"/>
        <w:rPr>
          <w:rFonts w:hint="eastAsia" w:ascii="宋体" w:hAnsi="宋体" w:eastAsia="宋体" w:cs="宋体"/>
          <w:color w:val="auto"/>
        </w:rPr>
      </w:pPr>
    </w:p>
    <w:p w14:paraId="78D45958">
      <w:pPr>
        <w:numPr>
          <w:ilvl w:val="0"/>
          <w:numId w:val="0"/>
        </w:numPr>
        <w:ind w:leftChars="200"/>
        <w:jc w:val="both"/>
        <w:outlineLvl w:val="9"/>
        <w:rPr>
          <w:rFonts w:hint="eastAsia" w:ascii="宋体" w:hAnsi="宋体" w:eastAsia="宋体" w:cs="宋体"/>
          <w:color w:val="auto"/>
        </w:rPr>
      </w:pPr>
    </w:p>
    <w:p w14:paraId="380BED04">
      <w:pPr>
        <w:numPr>
          <w:ilvl w:val="0"/>
          <w:numId w:val="0"/>
        </w:numPr>
        <w:ind w:leftChars="200"/>
        <w:jc w:val="both"/>
        <w:outlineLvl w:val="9"/>
        <w:rPr>
          <w:rFonts w:hint="eastAsia" w:ascii="宋体" w:hAnsi="宋体" w:eastAsia="宋体" w:cs="宋体"/>
          <w:color w:val="auto"/>
        </w:rPr>
      </w:pPr>
    </w:p>
    <w:p w14:paraId="2C7FBC02">
      <w:pPr>
        <w:numPr>
          <w:ilvl w:val="0"/>
          <w:numId w:val="0"/>
        </w:numPr>
        <w:ind w:leftChars="200"/>
        <w:jc w:val="both"/>
        <w:outlineLvl w:val="9"/>
        <w:rPr>
          <w:rFonts w:hint="eastAsia" w:ascii="宋体" w:hAnsi="宋体" w:eastAsia="宋体" w:cs="宋体"/>
          <w:color w:val="auto"/>
        </w:rPr>
      </w:pPr>
    </w:p>
    <w:p w14:paraId="3F331B86">
      <w:pPr>
        <w:numPr>
          <w:ilvl w:val="0"/>
          <w:numId w:val="0"/>
        </w:numPr>
        <w:ind w:leftChars="200"/>
        <w:jc w:val="both"/>
        <w:outlineLvl w:val="9"/>
        <w:rPr>
          <w:rFonts w:hint="eastAsia" w:ascii="宋体" w:hAnsi="宋体" w:eastAsia="宋体" w:cs="宋体"/>
          <w:color w:val="auto"/>
        </w:rPr>
      </w:pPr>
    </w:p>
    <w:p w14:paraId="6D141729">
      <w:pPr>
        <w:numPr>
          <w:ilvl w:val="0"/>
          <w:numId w:val="0"/>
        </w:numPr>
        <w:ind w:leftChars="200"/>
        <w:jc w:val="both"/>
        <w:outlineLvl w:val="9"/>
        <w:rPr>
          <w:rFonts w:hint="eastAsia" w:ascii="宋体" w:hAnsi="宋体" w:eastAsia="宋体" w:cs="宋体"/>
          <w:color w:val="auto"/>
        </w:rPr>
      </w:pPr>
    </w:p>
    <w:p w14:paraId="43D95BF9">
      <w:pPr>
        <w:numPr>
          <w:ilvl w:val="0"/>
          <w:numId w:val="0"/>
        </w:numPr>
        <w:ind w:leftChars="200"/>
        <w:jc w:val="both"/>
        <w:outlineLvl w:val="9"/>
        <w:rPr>
          <w:rFonts w:hint="eastAsia" w:ascii="宋体" w:hAnsi="宋体" w:eastAsia="宋体" w:cs="宋体"/>
          <w:color w:val="auto"/>
        </w:rPr>
      </w:pPr>
    </w:p>
    <w:p w14:paraId="3FD835A9">
      <w:pPr>
        <w:numPr>
          <w:ilvl w:val="0"/>
          <w:numId w:val="0"/>
        </w:numPr>
        <w:ind w:leftChars="200"/>
        <w:jc w:val="both"/>
        <w:outlineLvl w:val="9"/>
        <w:rPr>
          <w:rFonts w:hint="eastAsia" w:ascii="宋体" w:hAnsi="宋体" w:eastAsia="宋体" w:cs="宋体"/>
          <w:color w:val="auto"/>
        </w:rPr>
      </w:pPr>
    </w:p>
    <w:p w14:paraId="77B1060F">
      <w:pPr>
        <w:numPr>
          <w:ilvl w:val="0"/>
          <w:numId w:val="0"/>
        </w:numPr>
        <w:ind w:leftChars="200"/>
        <w:jc w:val="both"/>
        <w:outlineLvl w:val="9"/>
        <w:rPr>
          <w:rFonts w:hint="eastAsia" w:ascii="宋体" w:hAnsi="宋体" w:eastAsia="宋体" w:cs="宋体"/>
          <w:color w:val="auto"/>
        </w:rPr>
      </w:pPr>
    </w:p>
    <w:p w14:paraId="32CDD682">
      <w:pPr>
        <w:numPr>
          <w:ilvl w:val="0"/>
          <w:numId w:val="0"/>
        </w:numPr>
        <w:ind w:leftChars="200"/>
        <w:jc w:val="both"/>
        <w:outlineLvl w:val="9"/>
        <w:rPr>
          <w:rFonts w:hint="eastAsia" w:ascii="宋体" w:hAnsi="宋体" w:eastAsia="宋体" w:cs="宋体"/>
          <w:color w:val="auto"/>
        </w:rPr>
      </w:pPr>
    </w:p>
    <w:p w14:paraId="64D785A9">
      <w:pPr>
        <w:numPr>
          <w:ilvl w:val="0"/>
          <w:numId w:val="0"/>
        </w:numPr>
        <w:ind w:leftChars="200"/>
        <w:jc w:val="both"/>
        <w:outlineLvl w:val="9"/>
        <w:rPr>
          <w:rFonts w:hint="eastAsia" w:ascii="宋体" w:hAnsi="宋体" w:eastAsia="宋体" w:cs="宋体"/>
          <w:color w:val="auto"/>
        </w:rPr>
      </w:pPr>
    </w:p>
    <w:p w14:paraId="3DEAA9ED">
      <w:pPr>
        <w:numPr>
          <w:ilvl w:val="0"/>
          <w:numId w:val="0"/>
        </w:numPr>
        <w:ind w:leftChars="200"/>
        <w:jc w:val="both"/>
        <w:outlineLvl w:val="9"/>
        <w:rPr>
          <w:rFonts w:hint="eastAsia" w:ascii="宋体" w:hAnsi="宋体" w:eastAsia="宋体" w:cs="宋体"/>
          <w:color w:val="auto"/>
        </w:rPr>
      </w:pPr>
    </w:p>
    <w:p w14:paraId="763AAB66">
      <w:pPr>
        <w:numPr>
          <w:ilvl w:val="0"/>
          <w:numId w:val="0"/>
        </w:numPr>
        <w:ind w:leftChars="200"/>
        <w:jc w:val="both"/>
        <w:outlineLvl w:val="9"/>
        <w:rPr>
          <w:rFonts w:hint="eastAsia" w:ascii="宋体" w:hAnsi="宋体" w:eastAsia="宋体" w:cs="宋体"/>
          <w:color w:val="auto"/>
        </w:rPr>
      </w:pPr>
    </w:p>
    <w:p w14:paraId="77B0A1B4">
      <w:pPr>
        <w:numPr>
          <w:ilvl w:val="0"/>
          <w:numId w:val="0"/>
        </w:numPr>
        <w:ind w:leftChars="200"/>
        <w:jc w:val="both"/>
        <w:outlineLvl w:val="9"/>
        <w:rPr>
          <w:rFonts w:hint="eastAsia" w:ascii="宋体" w:hAnsi="宋体" w:eastAsia="宋体" w:cs="宋体"/>
          <w:color w:val="auto"/>
        </w:rPr>
      </w:pPr>
    </w:p>
    <w:p w14:paraId="1B727423">
      <w:pPr>
        <w:numPr>
          <w:ilvl w:val="0"/>
          <w:numId w:val="0"/>
        </w:numPr>
        <w:ind w:leftChars="200"/>
        <w:jc w:val="both"/>
        <w:outlineLvl w:val="9"/>
        <w:rPr>
          <w:rFonts w:hint="eastAsia" w:ascii="宋体" w:hAnsi="宋体" w:eastAsia="宋体" w:cs="宋体"/>
          <w:color w:val="auto"/>
        </w:rPr>
      </w:pPr>
    </w:p>
    <w:p w14:paraId="4D8AC691">
      <w:pPr>
        <w:numPr>
          <w:ilvl w:val="0"/>
          <w:numId w:val="0"/>
        </w:numPr>
        <w:ind w:leftChars="200"/>
        <w:jc w:val="both"/>
        <w:outlineLvl w:val="9"/>
        <w:rPr>
          <w:rFonts w:hint="eastAsia" w:ascii="宋体" w:hAnsi="宋体" w:eastAsia="宋体" w:cs="宋体"/>
          <w:color w:val="auto"/>
        </w:rPr>
      </w:pPr>
    </w:p>
    <w:p w14:paraId="66751377">
      <w:pPr>
        <w:numPr>
          <w:ilvl w:val="0"/>
          <w:numId w:val="0"/>
        </w:numPr>
        <w:ind w:leftChars="200"/>
        <w:jc w:val="both"/>
        <w:outlineLvl w:val="9"/>
        <w:rPr>
          <w:rFonts w:hint="eastAsia" w:ascii="宋体" w:hAnsi="宋体" w:eastAsia="宋体" w:cs="宋体"/>
          <w:color w:val="auto"/>
        </w:rPr>
      </w:pPr>
    </w:p>
    <w:p w14:paraId="18B8DDD0">
      <w:pPr>
        <w:numPr>
          <w:ilvl w:val="0"/>
          <w:numId w:val="0"/>
        </w:numPr>
        <w:ind w:leftChars="200"/>
        <w:jc w:val="both"/>
        <w:outlineLvl w:val="9"/>
        <w:rPr>
          <w:rFonts w:hint="eastAsia" w:ascii="宋体" w:hAnsi="宋体" w:eastAsia="宋体" w:cs="宋体"/>
          <w:color w:val="auto"/>
        </w:rPr>
      </w:pPr>
    </w:p>
    <w:p w14:paraId="7198E7BD">
      <w:pPr>
        <w:numPr>
          <w:ilvl w:val="0"/>
          <w:numId w:val="0"/>
        </w:numPr>
        <w:ind w:leftChars="200"/>
        <w:jc w:val="both"/>
        <w:outlineLvl w:val="9"/>
        <w:rPr>
          <w:rFonts w:hint="eastAsia" w:ascii="宋体" w:hAnsi="宋体" w:eastAsia="宋体" w:cs="宋体"/>
          <w:color w:val="auto"/>
        </w:rPr>
      </w:pPr>
    </w:p>
    <w:p w14:paraId="2EB43578">
      <w:pPr>
        <w:numPr>
          <w:ilvl w:val="0"/>
          <w:numId w:val="0"/>
        </w:numPr>
        <w:ind w:leftChars="200"/>
        <w:jc w:val="both"/>
        <w:outlineLvl w:val="9"/>
        <w:rPr>
          <w:rFonts w:hint="eastAsia" w:ascii="宋体" w:hAnsi="宋体" w:eastAsia="宋体" w:cs="宋体"/>
          <w:color w:val="auto"/>
        </w:rPr>
      </w:pPr>
    </w:p>
    <w:p w14:paraId="5040631E">
      <w:pPr>
        <w:numPr>
          <w:ilvl w:val="0"/>
          <w:numId w:val="0"/>
        </w:numPr>
        <w:ind w:leftChars="200"/>
        <w:jc w:val="both"/>
        <w:outlineLvl w:val="9"/>
        <w:rPr>
          <w:rFonts w:hint="eastAsia" w:ascii="宋体" w:hAnsi="宋体" w:eastAsia="宋体" w:cs="宋体"/>
          <w:color w:val="auto"/>
        </w:rPr>
      </w:pPr>
    </w:p>
    <w:p w14:paraId="066FD3A2">
      <w:pPr>
        <w:numPr>
          <w:ilvl w:val="0"/>
          <w:numId w:val="0"/>
        </w:numPr>
        <w:ind w:leftChars="200"/>
        <w:jc w:val="both"/>
        <w:outlineLvl w:val="9"/>
        <w:rPr>
          <w:rFonts w:hint="eastAsia" w:ascii="宋体" w:hAnsi="宋体" w:eastAsia="宋体" w:cs="宋体"/>
          <w:color w:val="auto"/>
        </w:rPr>
      </w:pPr>
    </w:p>
    <w:p w14:paraId="12FDA492">
      <w:pPr>
        <w:numPr>
          <w:ilvl w:val="0"/>
          <w:numId w:val="0"/>
        </w:numPr>
        <w:ind w:leftChars="200"/>
        <w:jc w:val="both"/>
        <w:outlineLvl w:val="9"/>
        <w:rPr>
          <w:rFonts w:hint="eastAsia" w:ascii="宋体" w:hAnsi="宋体" w:eastAsia="宋体" w:cs="宋体"/>
          <w:color w:val="auto"/>
        </w:rPr>
      </w:pPr>
    </w:p>
    <w:p w14:paraId="462CC360">
      <w:pPr>
        <w:numPr>
          <w:ilvl w:val="0"/>
          <w:numId w:val="0"/>
        </w:numPr>
        <w:ind w:leftChars="200"/>
        <w:jc w:val="both"/>
        <w:outlineLvl w:val="9"/>
        <w:rPr>
          <w:rFonts w:hint="eastAsia" w:ascii="宋体" w:hAnsi="宋体" w:eastAsia="宋体" w:cs="宋体"/>
          <w:color w:val="auto"/>
        </w:rPr>
      </w:pPr>
    </w:p>
    <w:p w14:paraId="4FC1AEA1">
      <w:pPr>
        <w:numPr>
          <w:ilvl w:val="0"/>
          <w:numId w:val="0"/>
        </w:numPr>
        <w:ind w:leftChars="200"/>
        <w:jc w:val="both"/>
        <w:outlineLvl w:val="9"/>
        <w:rPr>
          <w:rFonts w:hint="eastAsia" w:ascii="宋体" w:hAnsi="宋体" w:eastAsia="宋体" w:cs="宋体"/>
          <w:color w:val="auto"/>
        </w:rPr>
      </w:pPr>
    </w:p>
    <w:p w14:paraId="56C6CA88">
      <w:pPr>
        <w:numPr>
          <w:ilvl w:val="0"/>
          <w:numId w:val="0"/>
        </w:numPr>
        <w:ind w:leftChars="200"/>
        <w:jc w:val="both"/>
        <w:outlineLvl w:val="9"/>
        <w:rPr>
          <w:rFonts w:hint="eastAsia" w:ascii="宋体" w:hAnsi="宋体" w:eastAsia="宋体" w:cs="宋体"/>
          <w:color w:val="auto"/>
        </w:rPr>
      </w:pPr>
    </w:p>
    <w:p w14:paraId="632663A7">
      <w:pPr>
        <w:numPr>
          <w:ilvl w:val="0"/>
          <w:numId w:val="0"/>
        </w:numPr>
        <w:ind w:leftChars="200"/>
        <w:jc w:val="both"/>
        <w:outlineLvl w:val="9"/>
        <w:rPr>
          <w:rFonts w:hint="eastAsia" w:ascii="宋体" w:hAnsi="宋体" w:eastAsia="宋体" w:cs="宋体"/>
          <w:color w:val="auto"/>
        </w:rPr>
      </w:pPr>
    </w:p>
    <w:p w14:paraId="71F9A444">
      <w:pPr>
        <w:numPr>
          <w:ilvl w:val="0"/>
          <w:numId w:val="0"/>
        </w:numPr>
        <w:ind w:leftChars="200"/>
        <w:jc w:val="both"/>
        <w:outlineLvl w:val="9"/>
        <w:rPr>
          <w:rFonts w:hint="eastAsia" w:ascii="宋体" w:hAnsi="宋体" w:eastAsia="宋体" w:cs="宋体"/>
          <w:color w:val="auto"/>
        </w:rPr>
      </w:pPr>
    </w:p>
    <w:p w14:paraId="024F8BFB">
      <w:pPr>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（三）分包意向协议（格式自定）</w:t>
      </w:r>
    </w:p>
    <w:p w14:paraId="535B8DAC">
      <w:pPr>
        <w:pStyle w:val="3"/>
        <w:pageBreakBefore/>
        <w:spacing w:line="500" w:lineRule="exact"/>
        <w:ind w:firstLine="562" w:firstLineChars="200"/>
        <w:rPr>
          <w:rFonts w:hint="eastAsia" w:ascii="宋体" w:hAnsi="宋体" w:eastAsia="宋体" w:cs="宋体"/>
          <w:b/>
          <w:color w:val="auto"/>
          <w:szCs w:val="28"/>
        </w:rPr>
      </w:pPr>
      <w:bookmarkStart w:id="868" w:name="_Toc28432"/>
      <w:bookmarkStart w:id="869" w:name="_Toc26381"/>
      <w:bookmarkStart w:id="870" w:name="_Toc12509"/>
      <w:bookmarkStart w:id="871" w:name="_Toc17829"/>
      <w:bookmarkStart w:id="872" w:name="_Toc30818"/>
      <w:bookmarkStart w:id="873" w:name="_Toc21121"/>
      <w:bookmarkStart w:id="874" w:name="_Toc13249"/>
      <w:bookmarkStart w:id="875" w:name="_Toc493178793"/>
      <w:bookmarkStart w:id="876" w:name="_Toc30784"/>
      <w:bookmarkStart w:id="877" w:name="_Toc30988"/>
      <w:bookmarkStart w:id="878" w:name="_Toc75793544"/>
      <w:bookmarkStart w:id="879" w:name="_Toc16577"/>
      <w:bookmarkStart w:id="880" w:name="_Toc23187"/>
      <w:bookmarkStart w:id="881" w:name="_Toc6108"/>
      <w:bookmarkStart w:id="882" w:name="_Toc17848"/>
      <w:bookmarkStart w:id="883" w:name="_Toc4000"/>
      <w:bookmarkStart w:id="884" w:name="_Toc11324"/>
      <w:bookmarkStart w:id="885" w:name="_Toc492721038"/>
      <w:bookmarkStart w:id="886" w:name="_Toc355"/>
      <w:r>
        <w:rPr>
          <w:rFonts w:hint="eastAsia" w:ascii="宋体" w:hAnsi="宋体" w:eastAsia="宋体" w:cs="宋体"/>
          <w:b/>
          <w:color w:val="auto"/>
          <w:szCs w:val="28"/>
        </w:rPr>
        <w:t>五、资格文件</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 w14:paraId="6418B9B7">
      <w:pPr>
        <w:spacing w:line="4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（一）法人营业执照（副本）或事业单位法人证书（副本）或个体工商户营业执照或有效的自然人身份证明或社会团体法人登记证书复印件</w:t>
      </w:r>
    </w:p>
    <w:p w14:paraId="69671326">
      <w:pPr>
        <w:tabs>
          <w:tab w:val="left" w:pos="6300"/>
        </w:tabs>
        <w:snapToGrid w:val="0"/>
        <w:spacing w:line="500" w:lineRule="exact"/>
        <w:ind w:firstLine="570"/>
        <w:rPr>
          <w:rFonts w:hint="eastAsia" w:ascii="宋体" w:hAnsi="宋体" w:eastAsia="宋体" w:cs="宋体"/>
          <w:color w:val="auto"/>
        </w:rPr>
      </w:pPr>
    </w:p>
    <w:p w14:paraId="23132BD1">
      <w:pPr>
        <w:tabs>
          <w:tab w:val="left" w:pos="6300"/>
        </w:tabs>
        <w:snapToGrid w:val="0"/>
        <w:spacing w:line="500" w:lineRule="exact"/>
        <w:ind w:firstLine="570"/>
        <w:rPr>
          <w:rFonts w:hint="eastAsia" w:ascii="宋体" w:hAnsi="宋体" w:eastAsia="宋体" w:cs="宋体"/>
          <w:color w:val="auto"/>
        </w:rPr>
      </w:pPr>
    </w:p>
    <w:p w14:paraId="3492C57B">
      <w:pPr>
        <w:tabs>
          <w:tab w:val="left" w:pos="6300"/>
        </w:tabs>
        <w:snapToGrid w:val="0"/>
        <w:spacing w:line="500" w:lineRule="exact"/>
        <w:ind w:firstLine="570"/>
        <w:rPr>
          <w:rFonts w:hint="eastAsia" w:ascii="宋体" w:hAnsi="宋体" w:eastAsia="宋体" w:cs="宋体"/>
          <w:color w:val="auto"/>
        </w:rPr>
      </w:pPr>
    </w:p>
    <w:p w14:paraId="55C0F772">
      <w:pPr>
        <w:tabs>
          <w:tab w:val="left" w:pos="6300"/>
        </w:tabs>
        <w:snapToGrid w:val="0"/>
        <w:spacing w:line="500" w:lineRule="exact"/>
        <w:ind w:firstLine="570"/>
        <w:rPr>
          <w:rFonts w:hint="eastAsia" w:ascii="宋体" w:hAnsi="宋体" w:eastAsia="宋体" w:cs="宋体"/>
          <w:color w:val="auto"/>
        </w:rPr>
      </w:pPr>
    </w:p>
    <w:p w14:paraId="1DDFE971">
      <w:pPr>
        <w:tabs>
          <w:tab w:val="left" w:pos="6300"/>
        </w:tabs>
        <w:snapToGrid w:val="0"/>
        <w:spacing w:line="500" w:lineRule="exact"/>
        <w:ind w:firstLine="570"/>
        <w:rPr>
          <w:rFonts w:hint="eastAsia" w:ascii="宋体" w:hAnsi="宋体" w:eastAsia="宋体" w:cs="宋体"/>
          <w:color w:val="auto"/>
        </w:rPr>
      </w:pPr>
    </w:p>
    <w:p w14:paraId="253DE7F9">
      <w:pPr>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rPr>
        <w:br w:type="page"/>
      </w:r>
      <w:r>
        <w:rPr>
          <w:rFonts w:hint="eastAsia" w:ascii="宋体" w:hAnsi="宋体" w:eastAsia="宋体" w:cs="宋体"/>
          <w:color w:val="auto"/>
          <w:sz w:val="24"/>
          <w:szCs w:val="28"/>
        </w:rPr>
        <w:t>（二）法定代表人身份证明书（格式）</w:t>
      </w:r>
    </w:p>
    <w:p w14:paraId="05D4DF02">
      <w:pPr>
        <w:tabs>
          <w:tab w:val="left" w:pos="6300"/>
        </w:tabs>
        <w:snapToGrid w:val="0"/>
        <w:spacing w:line="500" w:lineRule="exact"/>
        <w:ind w:firstLine="570"/>
        <w:rPr>
          <w:rFonts w:hint="eastAsia" w:ascii="宋体" w:hAnsi="宋体" w:eastAsia="宋体" w:cs="宋体"/>
          <w:color w:val="auto"/>
          <w:sz w:val="24"/>
        </w:rPr>
      </w:pPr>
    </w:p>
    <w:p w14:paraId="749FC632">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招标项目名称：</w:t>
      </w:r>
      <w:r>
        <w:rPr>
          <w:rFonts w:hint="eastAsia" w:ascii="宋体" w:hAnsi="宋体" w:eastAsia="宋体" w:cs="宋体"/>
          <w:color w:val="auto"/>
          <w:sz w:val="24"/>
          <w:u w:val="single"/>
        </w:rPr>
        <w:t xml:space="preserve">                                                </w:t>
      </w:r>
    </w:p>
    <w:p w14:paraId="46C4DCE3">
      <w:pPr>
        <w:tabs>
          <w:tab w:val="left" w:pos="6300"/>
        </w:tabs>
        <w:snapToGrid w:val="0"/>
        <w:spacing w:line="500" w:lineRule="exact"/>
        <w:ind w:firstLine="570"/>
        <w:rPr>
          <w:rFonts w:hint="eastAsia" w:ascii="宋体" w:hAnsi="宋体" w:eastAsia="宋体" w:cs="宋体"/>
          <w:color w:val="auto"/>
          <w:sz w:val="24"/>
        </w:rPr>
      </w:pPr>
    </w:p>
    <w:p w14:paraId="101B8D79">
      <w:pPr>
        <w:tabs>
          <w:tab w:val="left" w:pos="6300"/>
        </w:tabs>
        <w:snapToGrid w:val="0"/>
        <w:spacing w:line="5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w:t>
      </w:r>
      <w:r>
        <w:rPr>
          <w:rFonts w:hint="eastAsia" w:ascii="宋体" w:hAnsi="宋体" w:eastAsia="宋体" w:cs="宋体"/>
          <w:color w:val="auto"/>
          <w:sz w:val="24"/>
        </w:rPr>
        <w:t>（采购代理机构名称）：</w:t>
      </w:r>
    </w:p>
    <w:p w14:paraId="1AD1D17A">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（法定代表人姓名）在</w:t>
      </w:r>
      <w:r>
        <w:rPr>
          <w:rFonts w:hint="eastAsia" w:ascii="宋体" w:hAnsi="宋体" w:eastAsia="宋体" w:cs="宋体"/>
          <w:color w:val="auto"/>
          <w:sz w:val="24"/>
          <w:u w:val="single"/>
        </w:rPr>
        <w:t xml:space="preserve">                       </w:t>
      </w:r>
      <w:r>
        <w:rPr>
          <w:rFonts w:hint="eastAsia" w:ascii="宋体" w:hAnsi="宋体" w:eastAsia="宋体" w:cs="宋体"/>
          <w:color w:val="auto"/>
          <w:sz w:val="24"/>
        </w:rPr>
        <w:t>（投标人名称）任</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（职务名称）职务，是（投标人名称）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5C8C32AF">
      <w:pPr>
        <w:tabs>
          <w:tab w:val="left" w:pos="6300"/>
        </w:tabs>
        <w:snapToGrid w:val="0"/>
        <w:spacing w:line="500" w:lineRule="exact"/>
        <w:ind w:firstLine="570"/>
        <w:rPr>
          <w:rFonts w:hint="eastAsia" w:ascii="宋体" w:hAnsi="宋体" w:eastAsia="宋体" w:cs="宋体"/>
          <w:color w:val="auto"/>
          <w:sz w:val="24"/>
        </w:rPr>
      </w:pPr>
    </w:p>
    <w:p w14:paraId="15542746">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特此证明。</w:t>
      </w:r>
    </w:p>
    <w:p w14:paraId="58F2D06F">
      <w:pPr>
        <w:tabs>
          <w:tab w:val="left" w:pos="6300"/>
        </w:tabs>
        <w:snapToGrid w:val="0"/>
        <w:spacing w:line="500" w:lineRule="exact"/>
        <w:ind w:firstLine="570"/>
        <w:rPr>
          <w:rFonts w:hint="eastAsia" w:ascii="宋体" w:hAnsi="宋体" w:eastAsia="宋体" w:cs="宋体"/>
          <w:color w:val="auto"/>
          <w:sz w:val="24"/>
        </w:rPr>
      </w:pPr>
    </w:p>
    <w:p w14:paraId="5B92F073">
      <w:pPr>
        <w:tabs>
          <w:tab w:val="left" w:pos="6300"/>
        </w:tabs>
        <w:snapToGrid w:val="0"/>
        <w:spacing w:line="500" w:lineRule="exact"/>
        <w:ind w:firstLine="570"/>
        <w:rPr>
          <w:rFonts w:hint="eastAsia" w:ascii="宋体" w:hAnsi="宋体" w:eastAsia="宋体" w:cs="宋体"/>
          <w:color w:val="auto"/>
          <w:sz w:val="24"/>
        </w:rPr>
      </w:pPr>
    </w:p>
    <w:p w14:paraId="74BDEC58">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投标人：</w:t>
      </w:r>
    </w:p>
    <w:p w14:paraId="23471424">
      <w:pPr>
        <w:tabs>
          <w:tab w:val="left" w:pos="6300"/>
        </w:tabs>
        <w:snapToGrid w:val="0"/>
        <w:spacing w:line="500" w:lineRule="exact"/>
        <w:ind w:firstLine="5848" w:firstLineChars="2437"/>
        <w:rPr>
          <w:rFonts w:hint="eastAsia" w:ascii="宋体" w:hAnsi="宋体" w:eastAsia="宋体" w:cs="宋体"/>
          <w:color w:val="auto"/>
          <w:sz w:val="24"/>
        </w:rPr>
      </w:pPr>
      <w:r>
        <w:rPr>
          <w:rFonts w:hint="eastAsia" w:ascii="宋体" w:hAnsi="宋体" w:eastAsia="宋体" w:cs="宋体"/>
          <w:color w:val="auto"/>
          <w:sz w:val="24"/>
        </w:rPr>
        <w:t>（投标人公章）</w:t>
      </w:r>
    </w:p>
    <w:p w14:paraId="4010FE4D">
      <w:pPr>
        <w:tabs>
          <w:tab w:val="left" w:pos="6300"/>
        </w:tabs>
        <w:snapToGrid w:val="0"/>
        <w:spacing w:line="500" w:lineRule="exact"/>
        <w:ind w:firstLine="570"/>
        <w:rPr>
          <w:rFonts w:hint="eastAsia" w:ascii="宋体" w:hAnsi="宋体" w:eastAsia="宋体" w:cs="宋体"/>
          <w:color w:val="auto"/>
          <w:sz w:val="24"/>
        </w:rPr>
      </w:pPr>
    </w:p>
    <w:p w14:paraId="654F7317">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67133141">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法定代表人电话：XXXXXXX      电子邮箱：XXXXXX@XXXXX（若授权他人办理并签署投标文件的可不填写）</w:t>
      </w:r>
    </w:p>
    <w:p w14:paraId="00A579FF">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（附：法定代表人身份证正反面复印件）</w:t>
      </w:r>
    </w:p>
    <w:p w14:paraId="716A1717">
      <w:pPr>
        <w:tabs>
          <w:tab w:val="left" w:pos="6300"/>
        </w:tabs>
        <w:snapToGrid w:val="0"/>
        <w:spacing w:line="500" w:lineRule="exact"/>
        <w:ind w:firstLine="570"/>
        <w:rPr>
          <w:rFonts w:hint="eastAsia" w:ascii="宋体" w:hAnsi="宋体" w:eastAsia="宋体" w:cs="宋体"/>
          <w:color w:val="auto"/>
          <w:sz w:val="24"/>
        </w:rPr>
      </w:pPr>
    </w:p>
    <w:p w14:paraId="3D6255BE">
      <w:pPr>
        <w:tabs>
          <w:tab w:val="left" w:pos="6300"/>
        </w:tabs>
        <w:snapToGrid w:val="0"/>
        <w:spacing w:line="500" w:lineRule="exact"/>
        <w:ind w:firstLine="570"/>
        <w:rPr>
          <w:rFonts w:hint="eastAsia" w:ascii="宋体" w:hAnsi="宋体" w:eastAsia="宋体" w:cs="宋体"/>
          <w:color w:val="auto"/>
          <w:sz w:val="24"/>
        </w:rPr>
      </w:pPr>
    </w:p>
    <w:p w14:paraId="20A00FCE">
      <w:pPr>
        <w:tabs>
          <w:tab w:val="left" w:pos="6300"/>
        </w:tabs>
        <w:snapToGrid w:val="0"/>
        <w:spacing w:line="500" w:lineRule="exact"/>
        <w:ind w:firstLine="570"/>
        <w:rPr>
          <w:rFonts w:hint="eastAsia" w:ascii="宋体" w:hAnsi="宋体" w:eastAsia="宋体" w:cs="宋体"/>
          <w:color w:val="auto"/>
          <w:sz w:val="24"/>
        </w:rPr>
      </w:pPr>
    </w:p>
    <w:p w14:paraId="6D4F0DFE">
      <w:pPr>
        <w:tabs>
          <w:tab w:val="left" w:pos="6300"/>
        </w:tabs>
        <w:snapToGrid w:val="0"/>
        <w:spacing w:line="500" w:lineRule="exact"/>
        <w:ind w:firstLine="570"/>
        <w:rPr>
          <w:rFonts w:hint="eastAsia" w:ascii="宋体" w:hAnsi="宋体" w:eastAsia="宋体" w:cs="宋体"/>
          <w:color w:val="auto"/>
          <w:sz w:val="24"/>
        </w:rPr>
      </w:pPr>
    </w:p>
    <w:p w14:paraId="5431BD27">
      <w:pPr>
        <w:tabs>
          <w:tab w:val="left" w:pos="6300"/>
        </w:tabs>
        <w:snapToGrid w:val="0"/>
        <w:spacing w:line="500" w:lineRule="exact"/>
        <w:ind w:firstLine="570"/>
        <w:rPr>
          <w:rFonts w:hint="eastAsia" w:ascii="宋体" w:hAnsi="宋体" w:eastAsia="宋体" w:cs="宋体"/>
          <w:color w:val="auto"/>
          <w:sz w:val="24"/>
        </w:rPr>
      </w:pPr>
    </w:p>
    <w:p w14:paraId="1C4CBF67">
      <w:pPr>
        <w:spacing w:line="400" w:lineRule="exact"/>
        <w:ind w:firstLine="560" w:firstLineChars="200"/>
        <w:rPr>
          <w:rFonts w:hint="eastAsia" w:ascii="宋体" w:hAnsi="宋体" w:eastAsia="宋体" w:cs="宋体"/>
          <w:color w:val="auto"/>
          <w:sz w:val="24"/>
          <w:szCs w:val="28"/>
        </w:rPr>
      </w:pPr>
      <w:r>
        <w:rPr>
          <w:rFonts w:hint="eastAsia" w:ascii="宋体" w:hAnsi="宋体" w:eastAsia="宋体" w:cs="宋体"/>
          <w:color w:val="auto"/>
        </w:rPr>
        <w:br w:type="column"/>
      </w:r>
      <w:r>
        <w:rPr>
          <w:rFonts w:hint="eastAsia" w:ascii="宋体" w:hAnsi="宋体" w:eastAsia="宋体" w:cs="宋体"/>
          <w:color w:val="auto"/>
          <w:sz w:val="24"/>
          <w:szCs w:val="28"/>
        </w:rPr>
        <w:t>（三）法定代表人授权委托书（格式）</w:t>
      </w:r>
    </w:p>
    <w:p w14:paraId="0C043A7A">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5203DBB6">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szCs w:val="28"/>
        </w:rPr>
        <w:t>招标项目名称</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p>
    <w:p w14:paraId="28AEEA25">
      <w:pPr>
        <w:tabs>
          <w:tab w:val="left" w:pos="6300"/>
        </w:tabs>
        <w:snapToGrid w:val="0"/>
        <w:spacing w:line="500" w:lineRule="exact"/>
        <w:ind w:firstLine="570"/>
        <w:rPr>
          <w:rFonts w:hint="eastAsia" w:ascii="宋体" w:hAnsi="宋体" w:eastAsia="宋体" w:cs="宋体"/>
          <w:color w:val="auto"/>
          <w:sz w:val="24"/>
        </w:rPr>
      </w:pPr>
    </w:p>
    <w:p w14:paraId="3351AB46">
      <w:pPr>
        <w:tabs>
          <w:tab w:val="left" w:pos="6300"/>
        </w:tabs>
        <w:snapToGrid w:val="0"/>
        <w:spacing w:line="5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w:t>
      </w:r>
      <w:r>
        <w:rPr>
          <w:rFonts w:hint="eastAsia" w:ascii="宋体" w:hAnsi="宋体" w:eastAsia="宋体" w:cs="宋体"/>
          <w:color w:val="auto"/>
          <w:sz w:val="24"/>
        </w:rPr>
        <w:t>（采购代理机构名称）：</w:t>
      </w:r>
    </w:p>
    <w:p w14:paraId="3070456C">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（投标人法定代表人名称）是</w:t>
      </w:r>
      <w:r>
        <w:rPr>
          <w:rFonts w:hint="eastAsia" w:ascii="宋体" w:hAnsi="宋体" w:eastAsia="宋体" w:cs="宋体"/>
          <w:color w:val="auto"/>
          <w:sz w:val="24"/>
          <w:u w:val="single"/>
        </w:rPr>
        <w:t xml:space="preserve">                    </w:t>
      </w:r>
      <w:r>
        <w:rPr>
          <w:rFonts w:hint="eastAsia" w:ascii="宋体" w:hAnsi="宋体" w:eastAsia="宋体" w:cs="宋体"/>
          <w:color w:val="auto"/>
          <w:sz w:val="24"/>
        </w:rPr>
        <w:t>（投标人名称）的法定代表人，特授权</w:t>
      </w:r>
      <w:r>
        <w:rPr>
          <w:rFonts w:hint="eastAsia" w:ascii="宋体" w:hAnsi="宋体" w:eastAsia="宋体" w:cs="宋体"/>
          <w:color w:val="auto"/>
          <w:sz w:val="24"/>
          <w:u w:val="single"/>
        </w:rPr>
        <w:t xml:space="preserve">          </w:t>
      </w:r>
      <w:r>
        <w:rPr>
          <w:rFonts w:hint="eastAsia" w:ascii="宋体" w:hAnsi="宋体" w:eastAsia="宋体" w:cs="宋体"/>
          <w:color w:val="auto"/>
          <w:sz w:val="24"/>
        </w:rPr>
        <w:t>（被授权人姓名及身份证代码）代表我单位全权办理上述项目的投标、谈判、签约等具体工作，并签署全部有关文件、协议及合同。</w:t>
      </w:r>
    </w:p>
    <w:p w14:paraId="4D8AEB81">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我单位对被授权人的签署负全部责任。</w:t>
      </w:r>
    </w:p>
    <w:p w14:paraId="00E3174A">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在撤消授权的书面通知以前，本授权书一直有效。被授权人在授权书有效期内签署的所有文件不因授权的撤消而失效。</w:t>
      </w:r>
    </w:p>
    <w:p w14:paraId="61044BA6">
      <w:pPr>
        <w:tabs>
          <w:tab w:val="left" w:pos="6300"/>
        </w:tabs>
        <w:snapToGrid w:val="0"/>
        <w:spacing w:line="500" w:lineRule="exact"/>
        <w:ind w:firstLine="570"/>
        <w:rPr>
          <w:rFonts w:hint="eastAsia" w:ascii="宋体" w:hAnsi="宋体" w:eastAsia="宋体" w:cs="宋体"/>
          <w:color w:val="auto"/>
          <w:sz w:val="24"/>
        </w:rPr>
      </w:pPr>
    </w:p>
    <w:p w14:paraId="0FE2A66A">
      <w:pPr>
        <w:tabs>
          <w:tab w:val="left" w:pos="6300"/>
        </w:tabs>
        <w:snapToGrid w:val="0"/>
        <w:spacing w:line="500" w:lineRule="exact"/>
        <w:ind w:firstLine="570"/>
        <w:rPr>
          <w:rFonts w:hint="eastAsia" w:ascii="宋体" w:hAnsi="宋体" w:eastAsia="宋体" w:cs="宋体"/>
          <w:color w:val="auto"/>
          <w:sz w:val="24"/>
        </w:rPr>
      </w:pPr>
    </w:p>
    <w:p w14:paraId="00C72B33">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被授权人：                                 投标人法定代表人：</w:t>
      </w:r>
    </w:p>
    <w:p w14:paraId="62818FFF">
      <w:pPr>
        <w:tabs>
          <w:tab w:val="left" w:pos="6300"/>
        </w:tabs>
        <w:snapToGrid w:val="0"/>
        <w:spacing w:line="500" w:lineRule="exact"/>
        <w:ind w:firstLine="570"/>
        <w:rPr>
          <w:rFonts w:hint="eastAsia" w:ascii="宋体" w:hAnsi="宋体" w:eastAsia="宋体" w:cs="宋体"/>
          <w:color w:val="auto"/>
          <w:sz w:val="24"/>
          <w:szCs w:val="28"/>
        </w:rPr>
      </w:pPr>
      <w:r>
        <w:rPr>
          <w:rFonts w:hint="eastAsia" w:ascii="宋体" w:hAnsi="宋体" w:eastAsia="宋体" w:cs="宋体"/>
          <w:color w:val="auto"/>
          <w:sz w:val="24"/>
          <w:szCs w:val="28"/>
        </w:rPr>
        <w:t>（签署或盖章）                                （签署或盖章）</w:t>
      </w:r>
    </w:p>
    <w:p w14:paraId="6B42D0A9">
      <w:pPr>
        <w:tabs>
          <w:tab w:val="left" w:pos="6300"/>
        </w:tabs>
        <w:snapToGrid w:val="0"/>
        <w:spacing w:line="500" w:lineRule="exact"/>
        <w:ind w:firstLine="570"/>
        <w:rPr>
          <w:rFonts w:hint="eastAsia" w:ascii="宋体" w:hAnsi="宋体" w:eastAsia="宋体" w:cs="宋体"/>
          <w:color w:val="auto"/>
          <w:sz w:val="24"/>
          <w:szCs w:val="28"/>
        </w:rPr>
      </w:pPr>
    </w:p>
    <w:p w14:paraId="014CD316">
      <w:pPr>
        <w:tabs>
          <w:tab w:val="left" w:pos="6300"/>
        </w:tabs>
        <w:snapToGrid w:val="0"/>
        <w:spacing w:line="500" w:lineRule="exact"/>
        <w:ind w:firstLine="570"/>
        <w:rPr>
          <w:rFonts w:hint="eastAsia" w:ascii="宋体" w:hAnsi="宋体" w:eastAsia="宋体" w:cs="宋体"/>
          <w:color w:val="auto"/>
          <w:sz w:val="24"/>
        </w:rPr>
      </w:pPr>
    </w:p>
    <w:p w14:paraId="4FDA3795">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（附：被授权人身份证正反面复印件）</w:t>
      </w:r>
    </w:p>
    <w:p w14:paraId="3501DEF8">
      <w:pPr>
        <w:tabs>
          <w:tab w:val="left" w:pos="6300"/>
        </w:tabs>
        <w:snapToGrid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2D3D3136">
      <w:pPr>
        <w:tabs>
          <w:tab w:val="left" w:pos="6300"/>
        </w:tabs>
        <w:snapToGrid w:val="0"/>
        <w:spacing w:line="500" w:lineRule="exact"/>
        <w:ind w:firstLine="570"/>
        <w:rPr>
          <w:rFonts w:hint="eastAsia" w:ascii="宋体" w:hAnsi="宋体" w:eastAsia="宋体" w:cs="宋体"/>
          <w:color w:val="auto"/>
          <w:sz w:val="24"/>
        </w:rPr>
      </w:pPr>
    </w:p>
    <w:p w14:paraId="50A5BD26">
      <w:pPr>
        <w:tabs>
          <w:tab w:val="left" w:pos="6300"/>
        </w:tabs>
        <w:snapToGrid w:val="0"/>
        <w:spacing w:line="500" w:lineRule="exact"/>
        <w:ind w:right="480" w:firstLine="570"/>
        <w:jc w:val="right"/>
        <w:rPr>
          <w:rFonts w:hint="eastAsia" w:ascii="宋体" w:hAnsi="宋体" w:eastAsia="宋体" w:cs="宋体"/>
          <w:color w:val="auto"/>
          <w:sz w:val="24"/>
        </w:rPr>
      </w:pPr>
      <w:r>
        <w:rPr>
          <w:rFonts w:hint="eastAsia" w:ascii="宋体" w:hAnsi="宋体" w:eastAsia="宋体" w:cs="宋体"/>
          <w:color w:val="auto"/>
          <w:sz w:val="24"/>
        </w:rPr>
        <w:t>（投标人公章）</w:t>
      </w:r>
    </w:p>
    <w:p w14:paraId="019CC1C6">
      <w:pPr>
        <w:tabs>
          <w:tab w:val="left" w:pos="6300"/>
        </w:tabs>
        <w:snapToGrid w:val="0"/>
        <w:spacing w:line="500" w:lineRule="exact"/>
        <w:ind w:right="480" w:firstLine="570"/>
        <w:jc w:val="right"/>
        <w:rPr>
          <w:rFonts w:hint="eastAsia" w:ascii="宋体" w:hAnsi="宋体" w:eastAsia="宋体" w:cs="宋体"/>
          <w:color w:val="auto"/>
          <w:sz w:val="24"/>
        </w:rPr>
      </w:pPr>
      <w:r>
        <w:rPr>
          <w:rFonts w:hint="eastAsia" w:ascii="宋体" w:hAnsi="宋体" w:eastAsia="宋体" w:cs="宋体"/>
          <w:color w:val="auto"/>
          <w:sz w:val="24"/>
        </w:rPr>
        <w:t>年   月   日</w:t>
      </w:r>
    </w:p>
    <w:p w14:paraId="1D3345B3">
      <w:pPr>
        <w:tabs>
          <w:tab w:val="left" w:pos="6300"/>
        </w:tabs>
        <w:snapToGrid w:val="0"/>
        <w:spacing w:line="500" w:lineRule="exact"/>
        <w:ind w:right="720" w:firstLine="570"/>
        <w:jc w:val="right"/>
        <w:rPr>
          <w:rFonts w:hint="eastAsia" w:ascii="宋体" w:hAnsi="宋体" w:eastAsia="宋体" w:cs="宋体"/>
          <w:color w:val="auto"/>
          <w:sz w:val="24"/>
        </w:rPr>
      </w:pPr>
    </w:p>
    <w:p w14:paraId="1F2CC103">
      <w:pPr>
        <w:tabs>
          <w:tab w:val="left" w:pos="6300"/>
        </w:tabs>
        <w:snapToGrid w:val="0"/>
        <w:spacing w:line="500" w:lineRule="exact"/>
        <w:ind w:right="480" w:firstLine="570"/>
        <w:jc w:val="left"/>
        <w:rPr>
          <w:rFonts w:hint="eastAsia" w:ascii="宋体" w:hAnsi="宋体" w:eastAsia="宋体" w:cs="宋体"/>
          <w:color w:val="auto"/>
          <w:sz w:val="24"/>
        </w:rPr>
      </w:pPr>
      <w:r>
        <w:rPr>
          <w:rFonts w:hint="eastAsia" w:ascii="宋体" w:hAnsi="宋体" w:eastAsia="宋体" w:cs="宋体"/>
          <w:color w:val="auto"/>
          <w:sz w:val="24"/>
        </w:rPr>
        <w:t>被授权人电话：XXXXXXX     电子邮箱：XXXXXX@XXXXX（若法定代表人办理并签署投标文件的可不填写）</w:t>
      </w:r>
    </w:p>
    <w:p w14:paraId="3F7F0504">
      <w:pPr>
        <w:tabs>
          <w:tab w:val="left" w:pos="6300"/>
        </w:tabs>
        <w:snapToGrid w:val="0"/>
        <w:spacing w:line="500" w:lineRule="exact"/>
        <w:ind w:right="480" w:firstLine="570"/>
        <w:jc w:val="left"/>
        <w:rPr>
          <w:rFonts w:hint="eastAsia" w:ascii="宋体" w:hAnsi="宋体" w:eastAsia="宋体" w:cs="宋体"/>
          <w:color w:val="auto"/>
          <w:sz w:val="24"/>
        </w:rPr>
      </w:pPr>
      <w:r>
        <w:rPr>
          <w:rFonts w:hint="eastAsia" w:ascii="宋体" w:hAnsi="宋体" w:eastAsia="宋体" w:cs="宋体"/>
          <w:color w:val="auto"/>
          <w:sz w:val="24"/>
        </w:rPr>
        <w:t>注：</w:t>
      </w:r>
    </w:p>
    <w:p w14:paraId="0EF43062">
      <w:pPr>
        <w:tabs>
          <w:tab w:val="left" w:pos="6300"/>
        </w:tabs>
        <w:snapToGrid w:val="0"/>
        <w:spacing w:line="500" w:lineRule="exact"/>
        <w:ind w:right="480" w:firstLine="570"/>
        <w:jc w:val="left"/>
        <w:rPr>
          <w:rFonts w:hint="eastAsia" w:ascii="宋体" w:hAnsi="宋体" w:eastAsia="宋体" w:cs="宋体"/>
          <w:color w:val="auto"/>
          <w:sz w:val="24"/>
        </w:rPr>
      </w:pPr>
      <w:r>
        <w:rPr>
          <w:rFonts w:hint="eastAsia" w:ascii="宋体" w:hAnsi="宋体" w:eastAsia="宋体" w:cs="宋体"/>
          <w:color w:val="auto"/>
          <w:sz w:val="24"/>
        </w:rPr>
        <w:t>1.若为法定代表人办理并签署投标文件的，不提供此文件。</w:t>
      </w:r>
    </w:p>
    <w:p w14:paraId="75541F00">
      <w:pPr>
        <w:spacing w:line="400" w:lineRule="exact"/>
        <w:ind w:firstLine="560" w:firstLineChars="200"/>
        <w:jc w:val="left"/>
        <w:rPr>
          <w:rFonts w:hint="eastAsia" w:ascii="宋体" w:hAnsi="宋体" w:eastAsia="宋体" w:cs="宋体"/>
          <w:color w:val="auto"/>
          <w:sz w:val="24"/>
          <w:szCs w:val="24"/>
        </w:rPr>
      </w:pPr>
      <w:r>
        <w:rPr>
          <w:rFonts w:hint="eastAsia" w:ascii="宋体" w:hAnsi="宋体" w:eastAsia="宋体" w:cs="宋体"/>
          <w:color w:val="auto"/>
        </w:rPr>
        <w:br w:type="column"/>
      </w:r>
      <w:r>
        <w:rPr>
          <w:rFonts w:hint="eastAsia" w:ascii="宋体" w:hAnsi="宋体" w:eastAsia="宋体" w:cs="宋体"/>
          <w:color w:val="auto"/>
          <w:sz w:val="24"/>
          <w:szCs w:val="28"/>
        </w:rPr>
        <w:t>（四）基本资格条件承诺函</w:t>
      </w:r>
    </w:p>
    <w:p w14:paraId="24F1DC0F">
      <w:pPr>
        <w:tabs>
          <w:tab w:val="left" w:pos="6300"/>
        </w:tabs>
        <w:snapToGrid w:val="0"/>
        <w:spacing w:line="500" w:lineRule="exact"/>
        <w:ind w:firstLine="643" w:firstLineChars="200"/>
        <w:jc w:val="center"/>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基本资格条件承诺函</w:t>
      </w:r>
    </w:p>
    <w:p w14:paraId="0CB9565B">
      <w:pPr>
        <w:tabs>
          <w:tab w:val="left" w:pos="6300"/>
        </w:tabs>
        <w:snapToGrid w:val="0"/>
        <w:spacing w:line="530" w:lineRule="exact"/>
        <w:rPr>
          <w:rFonts w:hint="eastAsia" w:ascii="宋体" w:hAnsi="宋体" w:eastAsia="宋体" w:cs="宋体"/>
          <w:color w:val="auto"/>
          <w:sz w:val="24"/>
        </w:rPr>
      </w:pPr>
    </w:p>
    <w:p w14:paraId="0ADA68FB">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w:t>
      </w:r>
      <w:r>
        <w:rPr>
          <w:rFonts w:hint="eastAsia" w:ascii="宋体" w:hAnsi="宋体" w:eastAsia="宋体" w:cs="宋体"/>
          <w:color w:val="auto"/>
          <w:sz w:val="24"/>
        </w:rPr>
        <w:t>（采购代理机构名称）：</w:t>
      </w:r>
    </w:p>
    <w:p w14:paraId="4276FC7B">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（投标人名称）郑重承诺：</w:t>
      </w:r>
    </w:p>
    <w:p w14:paraId="5931F0E1">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1.我方具有良好的商业信誉和健全的财务会计制度，具有履行合同所必需的设备和专业技术能力，具</w:t>
      </w:r>
      <w:r>
        <w:rPr>
          <w:rFonts w:hint="eastAsia" w:ascii="宋体" w:hAnsi="宋体" w:eastAsia="宋体" w:cs="宋体"/>
          <w:color w:val="auto"/>
          <w:sz w:val="24"/>
          <w:lang w:val="zh-CN"/>
        </w:rPr>
        <w:t>有依法缴纳税收和社会保障金的良好记录</w:t>
      </w:r>
      <w:r>
        <w:rPr>
          <w:rFonts w:hint="eastAsia" w:ascii="宋体" w:hAnsi="宋体" w:eastAsia="宋体" w:cs="宋体"/>
          <w:color w:val="auto"/>
          <w:sz w:val="24"/>
        </w:rPr>
        <w:t>，参加本项目采购活动前三年内无重大违法活动记录。</w:t>
      </w:r>
    </w:p>
    <w:p w14:paraId="6115DF4E">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2.我方未列入在信用中国网站（www.creditchina.gov.cn）“失信被执行人”、“重大税收违法案件当事人名单”中，也未列入中国政府采购网（www.ccgp.gov.cn）“政府采购严重违法失信行为记录名单”中。</w:t>
      </w:r>
    </w:p>
    <w:p w14:paraId="038CD6A7">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3.我方在采购项目评审（评标）环节结束后，随时接受采购人、采购代理机构的检查验证，配合提供相关证明材料，证明符合《中华人民共和国政府采购法》规定的投标人基本资格条件。</w:t>
      </w:r>
    </w:p>
    <w:p w14:paraId="10FF487C">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我方对以上承诺负全部法律责任。</w:t>
      </w:r>
    </w:p>
    <w:p w14:paraId="6B5DA85C">
      <w:pPr>
        <w:tabs>
          <w:tab w:val="left" w:pos="6300"/>
        </w:tabs>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特此承诺。</w:t>
      </w:r>
    </w:p>
    <w:p w14:paraId="4AA48F59">
      <w:pPr>
        <w:tabs>
          <w:tab w:val="left" w:pos="6300"/>
        </w:tabs>
        <w:snapToGrid w:val="0"/>
        <w:spacing w:line="500" w:lineRule="exact"/>
        <w:ind w:firstLine="480" w:firstLineChars="200"/>
        <w:rPr>
          <w:rFonts w:hint="eastAsia" w:ascii="宋体" w:hAnsi="宋体" w:eastAsia="宋体" w:cs="宋体"/>
          <w:color w:val="auto"/>
          <w:sz w:val="24"/>
        </w:rPr>
      </w:pPr>
    </w:p>
    <w:p w14:paraId="6CC42685">
      <w:pPr>
        <w:tabs>
          <w:tab w:val="left" w:pos="6300"/>
        </w:tabs>
        <w:snapToGrid w:val="0"/>
        <w:spacing w:line="500" w:lineRule="exact"/>
        <w:ind w:firstLine="480" w:firstLineChars="200"/>
        <w:jc w:val="right"/>
        <w:rPr>
          <w:rFonts w:hint="eastAsia" w:ascii="宋体" w:hAnsi="宋体" w:eastAsia="宋体" w:cs="宋体"/>
          <w:color w:val="auto"/>
          <w:sz w:val="24"/>
        </w:rPr>
      </w:pPr>
      <w:r>
        <w:rPr>
          <w:rFonts w:hint="eastAsia" w:ascii="宋体" w:hAnsi="宋体" w:eastAsia="宋体" w:cs="宋体"/>
          <w:color w:val="auto"/>
          <w:sz w:val="24"/>
        </w:rPr>
        <w:t>（投标人公章）</w:t>
      </w:r>
    </w:p>
    <w:p w14:paraId="35610D45">
      <w:pPr>
        <w:tabs>
          <w:tab w:val="left" w:pos="6300"/>
        </w:tabs>
        <w:snapToGrid w:val="0"/>
        <w:spacing w:line="500" w:lineRule="exact"/>
        <w:ind w:firstLine="480" w:firstLineChars="200"/>
        <w:jc w:val="right"/>
        <w:rPr>
          <w:rFonts w:hint="eastAsia" w:ascii="宋体" w:hAnsi="宋体" w:eastAsia="宋体" w:cs="宋体"/>
          <w:color w:val="auto"/>
          <w:sz w:val="24"/>
        </w:rPr>
      </w:pPr>
      <w:r>
        <w:rPr>
          <w:rFonts w:hint="eastAsia" w:ascii="宋体" w:hAnsi="宋体" w:eastAsia="宋体" w:cs="宋体"/>
          <w:color w:val="auto"/>
          <w:sz w:val="24"/>
        </w:rPr>
        <w:t>年   月   日</w:t>
      </w:r>
    </w:p>
    <w:p w14:paraId="4F413329">
      <w:pPr>
        <w:snapToGrid w:val="0"/>
        <w:spacing w:line="440" w:lineRule="exact"/>
        <w:ind w:firstLine="480" w:firstLineChars="200"/>
        <w:rPr>
          <w:rFonts w:hint="eastAsia" w:ascii="宋体" w:hAnsi="宋体" w:eastAsia="宋体" w:cs="宋体"/>
          <w:color w:val="auto"/>
          <w:sz w:val="24"/>
          <w:szCs w:val="24"/>
        </w:rPr>
      </w:pPr>
    </w:p>
    <w:p w14:paraId="6E9FD3B8">
      <w:pPr>
        <w:spacing w:line="400" w:lineRule="exact"/>
        <w:rPr>
          <w:rFonts w:hint="eastAsia" w:ascii="宋体" w:hAnsi="宋体" w:eastAsia="宋体" w:cs="宋体"/>
          <w:color w:val="auto"/>
        </w:rPr>
      </w:pPr>
    </w:p>
    <w:p w14:paraId="1F8110F7">
      <w:pPr>
        <w:spacing w:line="400" w:lineRule="exact"/>
        <w:rPr>
          <w:rFonts w:hint="eastAsia" w:ascii="宋体" w:hAnsi="宋体" w:eastAsia="宋体" w:cs="宋体"/>
          <w:color w:val="auto"/>
        </w:rPr>
      </w:pPr>
    </w:p>
    <w:p w14:paraId="06F5850F">
      <w:pPr>
        <w:spacing w:line="400" w:lineRule="exact"/>
        <w:rPr>
          <w:rFonts w:hint="eastAsia" w:ascii="宋体" w:hAnsi="宋体" w:eastAsia="宋体" w:cs="宋体"/>
          <w:color w:val="auto"/>
        </w:rPr>
      </w:pPr>
    </w:p>
    <w:p w14:paraId="283039C5">
      <w:pPr>
        <w:spacing w:line="400" w:lineRule="exact"/>
        <w:rPr>
          <w:rFonts w:hint="eastAsia" w:ascii="宋体" w:hAnsi="宋体" w:eastAsia="宋体" w:cs="宋体"/>
          <w:color w:val="auto"/>
        </w:rPr>
      </w:pPr>
    </w:p>
    <w:p w14:paraId="14BE76D1">
      <w:pPr>
        <w:spacing w:line="400" w:lineRule="exact"/>
        <w:rPr>
          <w:rFonts w:hint="eastAsia" w:ascii="宋体" w:hAnsi="宋体" w:eastAsia="宋体" w:cs="宋体"/>
          <w:color w:val="auto"/>
        </w:rPr>
      </w:pPr>
    </w:p>
    <w:p w14:paraId="68562C5C">
      <w:pPr>
        <w:spacing w:line="400" w:lineRule="exact"/>
        <w:rPr>
          <w:rFonts w:hint="eastAsia" w:ascii="宋体" w:hAnsi="宋体" w:eastAsia="宋体" w:cs="宋体"/>
          <w:color w:val="auto"/>
        </w:rPr>
      </w:pPr>
    </w:p>
    <w:p w14:paraId="1A35934E">
      <w:pPr>
        <w:spacing w:line="400" w:lineRule="exact"/>
        <w:rPr>
          <w:rFonts w:hint="eastAsia" w:ascii="宋体" w:hAnsi="宋体" w:eastAsia="宋体" w:cs="宋体"/>
          <w:color w:val="auto"/>
        </w:rPr>
      </w:pPr>
    </w:p>
    <w:p w14:paraId="13FD9C54">
      <w:pPr>
        <w:spacing w:line="400" w:lineRule="exact"/>
        <w:rPr>
          <w:rFonts w:hint="eastAsia" w:ascii="宋体" w:hAnsi="宋体" w:eastAsia="宋体" w:cs="宋体"/>
          <w:color w:val="auto"/>
        </w:rPr>
      </w:pPr>
    </w:p>
    <w:p w14:paraId="6D9E75A3">
      <w:pPr>
        <w:tabs>
          <w:tab w:val="left" w:pos="6300"/>
        </w:tabs>
        <w:snapToGrid w:val="0"/>
        <w:spacing w:line="500" w:lineRule="exact"/>
        <w:ind w:firstLine="480" w:firstLineChars="200"/>
        <w:rPr>
          <w:rFonts w:hint="eastAsia" w:ascii="宋体" w:hAnsi="宋体" w:eastAsia="宋体" w:cs="宋体"/>
          <w:color w:val="auto"/>
          <w:sz w:val="24"/>
          <w:szCs w:val="28"/>
        </w:rPr>
      </w:pPr>
    </w:p>
    <w:p w14:paraId="18CD96D5">
      <w:pPr>
        <w:tabs>
          <w:tab w:val="left" w:pos="6300"/>
        </w:tabs>
        <w:snapToGrid w:val="0"/>
        <w:spacing w:line="500" w:lineRule="exact"/>
        <w:ind w:firstLine="480" w:firstLineChars="200"/>
        <w:rPr>
          <w:rFonts w:hint="eastAsia" w:ascii="宋体" w:hAnsi="宋体" w:eastAsia="宋体" w:cs="宋体"/>
          <w:color w:val="auto"/>
          <w:sz w:val="24"/>
          <w:szCs w:val="28"/>
        </w:rPr>
      </w:pPr>
    </w:p>
    <w:p w14:paraId="427E9AD1">
      <w:pPr>
        <w:tabs>
          <w:tab w:val="left" w:pos="6300"/>
        </w:tabs>
        <w:snapToGrid w:val="0"/>
        <w:spacing w:line="50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（五）特定资格条件证书或证明文件</w:t>
      </w:r>
    </w:p>
    <w:p w14:paraId="60E6EE32">
      <w:pPr>
        <w:tabs>
          <w:tab w:val="left" w:pos="6300"/>
        </w:tabs>
        <w:snapToGrid w:val="0"/>
        <w:spacing w:line="500" w:lineRule="exact"/>
        <w:ind w:firstLine="570"/>
        <w:jc w:val="left"/>
        <w:rPr>
          <w:rFonts w:hint="eastAsia" w:ascii="宋体" w:hAnsi="宋体" w:eastAsia="宋体" w:cs="宋体"/>
          <w:color w:val="auto"/>
          <w:sz w:val="24"/>
        </w:rPr>
      </w:pPr>
    </w:p>
    <w:p w14:paraId="0AEF5259">
      <w:pPr>
        <w:tabs>
          <w:tab w:val="left" w:pos="6300"/>
        </w:tabs>
        <w:snapToGrid w:val="0"/>
        <w:spacing w:line="500" w:lineRule="exact"/>
        <w:ind w:firstLine="570"/>
        <w:jc w:val="left"/>
        <w:rPr>
          <w:rFonts w:hint="eastAsia" w:ascii="宋体" w:hAnsi="宋体" w:eastAsia="宋体" w:cs="宋体"/>
          <w:color w:val="auto"/>
          <w:sz w:val="24"/>
        </w:rPr>
      </w:pPr>
    </w:p>
    <w:p w14:paraId="1E5F6366">
      <w:pPr>
        <w:tabs>
          <w:tab w:val="left" w:pos="6300"/>
        </w:tabs>
        <w:snapToGrid w:val="0"/>
        <w:spacing w:line="500" w:lineRule="exact"/>
        <w:ind w:firstLine="570"/>
        <w:jc w:val="left"/>
        <w:rPr>
          <w:rFonts w:hint="eastAsia" w:ascii="宋体" w:hAnsi="宋体" w:eastAsia="宋体" w:cs="宋体"/>
          <w:color w:val="auto"/>
          <w:sz w:val="24"/>
        </w:rPr>
      </w:pPr>
    </w:p>
    <w:p w14:paraId="7B46B257">
      <w:pPr>
        <w:tabs>
          <w:tab w:val="left" w:pos="6300"/>
        </w:tabs>
        <w:snapToGrid w:val="0"/>
        <w:spacing w:line="500" w:lineRule="exact"/>
        <w:ind w:firstLine="570"/>
        <w:jc w:val="left"/>
        <w:rPr>
          <w:rFonts w:hint="eastAsia" w:ascii="宋体" w:hAnsi="宋体" w:eastAsia="宋体" w:cs="宋体"/>
          <w:color w:val="auto"/>
          <w:sz w:val="24"/>
        </w:rPr>
      </w:pPr>
    </w:p>
    <w:p w14:paraId="4DAC89BB">
      <w:pPr>
        <w:tabs>
          <w:tab w:val="left" w:pos="6300"/>
        </w:tabs>
        <w:snapToGrid w:val="0"/>
        <w:spacing w:line="500" w:lineRule="exact"/>
        <w:ind w:firstLine="570"/>
        <w:jc w:val="left"/>
        <w:rPr>
          <w:rFonts w:hint="eastAsia" w:ascii="宋体" w:hAnsi="宋体" w:eastAsia="宋体" w:cs="宋体"/>
          <w:color w:val="auto"/>
          <w:sz w:val="24"/>
        </w:rPr>
      </w:pPr>
    </w:p>
    <w:p w14:paraId="03A58000">
      <w:pPr>
        <w:tabs>
          <w:tab w:val="left" w:pos="6300"/>
        </w:tabs>
        <w:snapToGrid w:val="0"/>
        <w:spacing w:line="500" w:lineRule="exact"/>
        <w:ind w:firstLine="570"/>
        <w:jc w:val="left"/>
        <w:rPr>
          <w:rFonts w:hint="eastAsia" w:ascii="宋体" w:hAnsi="宋体" w:eastAsia="宋体" w:cs="宋体"/>
          <w:color w:val="auto"/>
          <w:sz w:val="24"/>
        </w:rPr>
      </w:pPr>
    </w:p>
    <w:p w14:paraId="6D89D22B">
      <w:pPr>
        <w:tabs>
          <w:tab w:val="left" w:pos="6300"/>
        </w:tabs>
        <w:snapToGrid w:val="0"/>
        <w:spacing w:line="500" w:lineRule="exact"/>
        <w:ind w:firstLine="570"/>
        <w:jc w:val="left"/>
        <w:rPr>
          <w:rFonts w:hint="eastAsia" w:ascii="宋体" w:hAnsi="宋体" w:eastAsia="宋体" w:cs="宋体"/>
          <w:color w:val="auto"/>
          <w:sz w:val="24"/>
        </w:rPr>
      </w:pPr>
    </w:p>
    <w:p w14:paraId="7BFDCAA2">
      <w:pPr>
        <w:tabs>
          <w:tab w:val="left" w:pos="6300"/>
        </w:tabs>
        <w:snapToGrid w:val="0"/>
        <w:spacing w:line="500" w:lineRule="exact"/>
        <w:ind w:firstLine="570"/>
        <w:jc w:val="left"/>
        <w:rPr>
          <w:rFonts w:hint="eastAsia" w:ascii="宋体" w:hAnsi="宋体" w:eastAsia="宋体" w:cs="宋体"/>
          <w:color w:val="auto"/>
          <w:sz w:val="24"/>
        </w:rPr>
      </w:pPr>
    </w:p>
    <w:p w14:paraId="54A3E99E">
      <w:pPr>
        <w:tabs>
          <w:tab w:val="left" w:pos="6300"/>
        </w:tabs>
        <w:snapToGrid w:val="0"/>
        <w:spacing w:line="500" w:lineRule="exact"/>
        <w:ind w:firstLine="570"/>
        <w:jc w:val="left"/>
        <w:rPr>
          <w:rFonts w:hint="eastAsia" w:ascii="宋体" w:hAnsi="宋体" w:eastAsia="宋体" w:cs="宋体"/>
          <w:color w:val="auto"/>
          <w:sz w:val="24"/>
        </w:rPr>
      </w:pPr>
    </w:p>
    <w:p w14:paraId="02CC66ED">
      <w:pPr>
        <w:tabs>
          <w:tab w:val="left" w:pos="6300"/>
        </w:tabs>
        <w:snapToGrid w:val="0"/>
        <w:spacing w:line="500" w:lineRule="exact"/>
        <w:ind w:firstLine="570"/>
        <w:jc w:val="left"/>
        <w:rPr>
          <w:rFonts w:hint="eastAsia" w:ascii="宋体" w:hAnsi="宋体" w:eastAsia="宋体" w:cs="宋体"/>
          <w:color w:val="auto"/>
          <w:sz w:val="24"/>
        </w:rPr>
      </w:pPr>
    </w:p>
    <w:p w14:paraId="7FCDA44D">
      <w:pPr>
        <w:tabs>
          <w:tab w:val="left" w:pos="6300"/>
        </w:tabs>
        <w:snapToGrid w:val="0"/>
        <w:spacing w:line="500" w:lineRule="exact"/>
        <w:ind w:firstLine="570"/>
        <w:jc w:val="left"/>
        <w:rPr>
          <w:rFonts w:hint="eastAsia" w:ascii="宋体" w:hAnsi="宋体" w:eastAsia="宋体" w:cs="宋体"/>
          <w:color w:val="auto"/>
          <w:sz w:val="24"/>
        </w:rPr>
      </w:pPr>
    </w:p>
    <w:p w14:paraId="686BA850">
      <w:pPr>
        <w:tabs>
          <w:tab w:val="left" w:pos="6300"/>
        </w:tabs>
        <w:snapToGrid w:val="0"/>
        <w:spacing w:line="500" w:lineRule="exact"/>
        <w:ind w:firstLine="570"/>
        <w:jc w:val="left"/>
        <w:rPr>
          <w:rFonts w:hint="eastAsia" w:ascii="宋体" w:hAnsi="宋体" w:eastAsia="宋体" w:cs="宋体"/>
          <w:color w:val="auto"/>
          <w:sz w:val="24"/>
        </w:rPr>
      </w:pPr>
    </w:p>
    <w:p w14:paraId="376342B1">
      <w:pPr>
        <w:tabs>
          <w:tab w:val="left" w:pos="6300"/>
        </w:tabs>
        <w:snapToGrid w:val="0"/>
        <w:spacing w:line="500" w:lineRule="exact"/>
        <w:ind w:firstLine="570"/>
        <w:jc w:val="left"/>
        <w:rPr>
          <w:rFonts w:hint="eastAsia" w:ascii="宋体" w:hAnsi="宋体" w:eastAsia="宋体" w:cs="宋体"/>
          <w:color w:val="auto"/>
          <w:sz w:val="24"/>
        </w:rPr>
      </w:pPr>
    </w:p>
    <w:p w14:paraId="7FB6C6AE">
      <w:pPr>
        <w:tabs>
          <w:tab w:val="left" w:pos="6300"/>
        </w:tabs>
        <w:snapToGrid w:val="0"/>
        <w:spacing w:line="500" w:lineRule="exact"/>
        <w:ind w:firstLine="570"/>
        <w:jc w:val="left"/>
        <w:rPr>
          <w:rFonts w:hint="eastAsia" w:ascii="宋体" w:hAnsi="宋体" w:eastAsia="宋体" w:cs="宋体"/>
          <w:color w:val="auto"/>
          <w:sz w:val="24"/>
        </w:rPr>
      </w:pPr>
    </w:p>
    <w:p w14:paraId="1D203682">
      <w:pPr>
        <w:tabs>
          <w:tab w:val="left" w:pos="6300"/>
        </w:tabs>
        <w:snapToGrid w:val="0"/>
        <w:spacing w:line="500" w:lineRule="exact"/>
        <w:ind w:firstLine="570"/>
        <w:jc w:val="left"/>
        <w:rPr>
          <w:rFonts w:hint="eastAsia" w:ascii="宋体" w:hAnsi="宋体" w:eastAsia="宋体" w:cs="宋体"/>
          <w:color w:val="auto"/>
          <w:sz w:val="24"/>
        </w:rPr>
      </w:pPr>
    </w:p>
    <w:p w14:paraId="029F781A">
      <w:pPr>
        <w:tabs>
          <w:tab w:val="left" w:pos="6300"/>
        </w:tabs>
        <w:snapToGrid w:val="0"/>
        <w:spacing w:line="500" w:lineRule="exact"/>
        <w:ind w:firstLine="570"/>
        <w:jc w:val="left"/>
        <w:rPr>
          <w:rFonts w:hint="eastAsia" w:ascii="宋体" w:hAnsi="宋体" w:eastAsia="宋体" w:cs="宋体"/>
          <w:color w:val="auto"/>
          <w:sz w:val="24"/>
        </w:rPr>
      </w:pPr>
    </w:p>
    <w:p w14:paraId="1E35AB96">
      <w:pPr>
        <w:tabs>
          <w:tab w:val="left" w:pos="6300"/>
        </w:tabs>
        <w:snapToGrid w:val="0"/>
        <w:spacing w:line="500" w:lineRule="exact"/>
        <w:ind w:firstLine="570"/>
        <w:jc w:val="left"/>
        <w:rPr>
          <w:rFonts w:hint="eastAsia" w:ascii="宋体" w:hAnsi="宋体" w:eastAsia="宋体" w:cs="宋体"/>
          <w:color w:val="auto"/>
          <w:sz w:val="24"/>
        </w:rPr>
      </w:pPr>
    </w:p>
    <w:p w14:paraId="31C157F4">
      <w:pPr>
        <w:tabs>
          <w:tab w:val="left" w:pos="6300"/>
        </w:tabs>
        <w:snapToGrid w:val="0"/>
        <w:spacing w:line="500" w:lineRule="exact"/>
        <w:ind w:firstLine="570"/>
        <w:jc w:val="left"/>
        <w:rPr>
          <w:rFonts w:hint="eastAsia" w:ascii="宋体" w:hAnsi="宋体" w:eastAsia="宋体" w:cs="宋体"/>
          <w:color w:val="auto"/>
          <w:sz w:val="24"/>
        </w:rPr>
      </w:pPr>
    </w:p>
    <w:p w14:paraId="040F95E0">
      <w:pPr>
        <w:tabs>
          <w:tab w:val="left" w:pos="6300"/>
        </w:tabs>
        <w:snapToGrid w:val="0"/>
        <w:spacing w:line="500" w:lineRule="exact"/>
        <w:ind w:firstLine="570"/>
        <w:jc w:val="left"/>
        <w:rPr>
          <w:rFonts w:hint="eastAsia" w:ascii="宋体" w:hAnsi="宋体" w:eastAsia="宋体" w:cs="宋体"/>
          <w:color w:val="auto"/>
          <w:sz w:val="24"/>
        </w:rPr>
      </w:pPr>
    </w:p>
    <w:p w14:paraId="76F663AB">
      <w:pPr>
        <w:tabs>
          <w:tab w:val="left" w:pos="6300"/>
        </w:tabs>
        <w:snapToGrid w:val="0"/>
        <w:spacing w:line="500" w:lineRule="exact"/>
        <w:ind w:firstLine="570"/>
        <w:jc w:val="left"/>
        <w:rPr>
          <w:rFonts w:hint="eastAsia" w:ascii="宋体" w:hAnsi="宋体" w:eastAsia="宋体" w:cs="宋体"/>
          <w:color w:val="auto"/>
          <w:sz w:val="24"/>
        </w:rPr>
      </w:pPr>
    </w:p>
    <w:p w14:paraId="49FBB027">
      <w:pPr>
        <w:tabs>
          <w:tab w:val="left" w:pos="6300"/>
        </w:tabs>
        <w:snapToGrid w:val="0"/>
        <w:spacing w:line="500" w:lineRule="exact"/>
        <w:ind w:firstLine="570"/>
        <w:jc w:val="left"/>
        <w:rPr>
          <w:rFonts w:hint="eastAsia" w:ascii="宋体" w:hAnsi="宋体" w:eastAsia="宋体" w:cs="宋体"/>
          <w:color w:val="auto"/>
          <w:sz w:val="24"/>
        </w:rPr>
      </w:pPr>
    </w:p>
    <w:p w14:paraId="436C296A">
      <w:pPr>
        <w:tabs>
          <w:tab w:val="left" w:pos="6300"/>
        </w:tabs>
        <w:snapToGrid w:val="0"/>
        <w:spacing w:line="500" w:lineRule="exact"/>
        <w:jc w:val="left"/>
        <w:rPr>
          <w:rFonts w:hint="eastAsia" w:ascii="宋体" w:hAnsi="宋体" w:eastAsia="宋体" w:cs="宋体"/>
          <w:color w:val="auto"/>
          <w:sz w:val="24"/>
        </w:rPr>
      </w:pPr>
    </w:p>
    <w:p w14:paraId="04E70C27">
      <w:pPr>
        <w:tabs>
          <w:tab w:val="left" w:pos="6300"/>
        </w:tabs>
        <w:snapToGrid w:val="0"/>
        <w:spacing w:line="500" w:lineRule="exact"/>
        <w:ind w:firstLine="570"/>
        <w:jc w:val="left"/>
        <w:rPr>
          <w:rFonts w:hint="eastAsia" w:ascii="宋体" w:hAnsi="宋体" w:eastAsia="宋体" w:cs="宋体"/>
          <w:color w:val="auto"/>
          <w:sz w:val="24"/>
        </w:rPr>
      </w:pPr>
    </w:p>
    <w:p w14:paraId="08958F65">
      <w:pPr>
        <w:tabs>
          <w:tab w:val="left" w:pos="6300"/>
        </w:tabs>
        <w:snapToGrid w:val="0"/>
        <w:spacing w:line="500" w:lineRule="exact"/>
        <w:jc w:val="left"/>
        <w:rPr>
          <w:rFonts w:hint="eastAsia" w:ascii="宋体" w:hAnsi="宋体" w:eastAsia="宋体" w:cs="宋体"/>
          <w:color w:val="auto"/>
          <w:sz w:val="24"/>
        </w:rPr>
      </w:pPr>
    </w:p>
    <w:p w14:paraId="169F827A">
      <w:pPr>
        <w:pStyle w:val="58"/>
        <w:rPr>
          <w:rFonts w:hint="eastAsia" w:ascii="宋体" w:hAnsi="宋体" w:eastAsia="宋体" w:cs="宋体"/>
          <w:color w:val="auto"/>
          <w:sz w:val="24"/>
        </w:rPr>
      </w:pPr>
    </w:p>
    <w:p w14:paraId="274CE346">
      <w:pPr>
        <w:tabs>
          <w:tab w:val="left" w:pos="6300"/>
        </w:tabs>
        <w:snapToGrid w:val="0"/>
        <w:spacing w:line="500" w:lineRule="exact"/>
        <w:jc w:val="left"/>
        <w:rPr>
          <w:rFonts w:hint="eastAsia" w:ascii="宋体" w:hAnsi="宋体" w:eastAsia="宋体" w:cs="宋体"/>
          <w:color w:val="auto"/>
          <w:sz w:val="24"/>
        </w:rPr>
      </w:pPr>
    </w:p>
    <w:p w14:paraId="22C32803">
      <w:pPr>
        <w:tabs>
          <w:tab w:val="left" w:pos="6300"/>
        </w:tabs>
        <w:snapToGrid w:val="0"/>
        <w:spacing w:line="500" w:lineRule="exact"/>
        <w:jc w:val="center"/>
        <w:outlineLvl w:val="0"/>
        <w:rPr>
          <w:rFonts w:hint="eastAsia" w:ascii="宋体" w:hAnsi="宋体" w:eastAsia="宋体" w:cs="宋体"/>
          <w:color w:val="auto"/>
          <w:sz w:val="24"/>
        </w:rPr>
      </w:pPr>
      <w:r>
        <w:rPr>
          <w:rFonts w:hint="eastAsia" w:ascii="宋体" w:hAnsi="宋体" w:eastAsia="宋体" w:cs="宋体"/>
          <w:color w:val="auto"/>
          <w:sz w:val="24"/>
        </w:rPr>
        <w:t>（结束）</w:t>
      </w:r>
    </w:p>
    <w:p w14:paraId="43DE14A0"/>
    <w:sectPr>
      <w:footerReference r:id="rId7" w:type="default"/>
      <w:type w:val="nextColumn"/>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002020204"/>
    <w:charset w:val="86"/>
    <w:family w:val="swiss"/>
    <w:pitch w:val="default"/>
    <w:sig w:usb0="00000000" w:usb1="00000000" w:usb2="0000003F" w:usb3="00000000" w:csb0="603F01FF" w:csb1="FFFF0000"/>
  </w:font>
  <w:font w:name="_x000B__x000C_">
    <w:altName w:val="Times New Roman"/>
    <w:panose1 w:val="00000000000000000000"/>
    <w:charset w:val="00"/>
    <w:family w:val="roman"/>
    <w:pitch w:val="default"/>
    <w:sig w:usb0="00000000" w:usb1="00000000" w:usb2="00000000" w:usb3="00000000" w:csb0="00000001" w:csb1="00000000"/>
  </w:font>
  <w:font w:name="文鼎粗黑">
    <w:altName w:val="宋体"/>
    <w:panose1 w:val="020B0609010001010101"/>
    <w:charset w:val="86"/>
    <w:family w:val="modern"/>
    <w:pitch w:val="default"/>
    <w:sig w:usb0="00000000" w:usb1="00000000" w:usb2="00000010" w:usb3="00000000" w:csb0="00040000" w:csb1="00000000"/>
  </w:font>
  <w:font w:name="昆仑楷体">
    <w:altName w:val="宋体"/>
    <w:panose1 w:val="02010609000001010101"/>
    <w:charset w:val="86"/>
    <w:family w:val="moder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embedRegular r:id="rId1" w:fontKey="{82B1D495-49A3-4166-AE45-97C4F62629C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B3E07">
    <w:pPr>
      <w:pStyle w:val="37"/>
      <w:jc w:val="center"/>
      <w:rPr>
        <w:rFonts w:hint="eastAsia"/>
        <w:sz w:val="24"/>
      </w:rPr>
    </w:pPr>
    <w:r>
      <w:rPr>
        <w:sz w:val="24"/>
      </w:rPr>
      <w:fldChar w:fldCharType="begin"/>
    </w:r>
    <w:r>
      <w:rPr>
        <w:rStyle w:val="63"/>
        <w:sz w:val="24"/>
      </w:rPr>
      <w:instrText xml:space="preserve"> PAGE </w:instrText>
    </w:r>
    <w:r>
      <w:rPr>
        <w:sz w:val="24"/>
      </w:rPr>
      <w:fldChar w:fldCharType="separate"/>
    </w:r>
    <w:r>
      <w:rPr>
        <w:rStyle w:val="63"/>
        <w:sz w:val="24"/>
      </w:rPr>
      <w:t>- 2 -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48930">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14:paraId="1A06C3AC">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A9716">
    <w:pPr>
      <w:pStyle w:val="37"/>
      <w:jc w:val="center"/>
      <w:rPr>
        <w:sz w:val="24"/>
      </w:rPr>
    </w:pPr>
    <w:r>
      <w:rPr>
        <w:sz w:val="24"/>
      </w:rPr>
      <w:fldChar w:fldCharType="begin"/>
    </w:r>
    <w:r>
      <w:rPr>
        <w:rStyle w:val="63"/>
        <w:sz w:val="24"/>
      </w:rPr>
      <w:instrText xml:space="preserve"> PAGE </w:instrText>
    </w:r>
    <w:r>
      <w:rPr>
        <w:sz w:val="24"/>
      </w:rPr>
      <w:fldChar w:fldCharType="separate"/>
    </w:r>
    <w:r>
      <w:rPr>
        <w:rStyle w:val="63"/>
        <w:sz w:val="24"/>
      </w:rPr>
      <w:t>- 32 -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E9215">
    <w:pPr>
      <w:pStyle w:val="38"/>
      <w:pBdr>
        <w:bottom w:val="single" w:color="auto" w:sz="4" w:space="1"/>
      </w:pBdr>
      <w:ind w:firstLine="2415" w:firstLineChars="1150"/>
      <w:jc w:val="both"/>
      <w:rPr>
        <w:rFonts w:hint="eastAsia" w:ascii="方正仿宋_GBK" w:eastAsia="方正仿宋_GBK"/>
        <w:sz w:val="21"/>
        <w:szCs w:val="24"/>
      </w:rPr>
    </w:pPr>
    <w:r>
      <w:rPr>
        <w:rFonts w:hint="eastAsia" w:ascii="方正仿宋_GBK" w:eastAsia="方正仿宋_GBK"/>
        <w:sz w:val="21"/>
        <w:szCs w:val="24"/>
      </w:rPr>
      <w:t xml:space="preserve">                                                </w:t>
    </w:r>
    <w:r>
      <w:rPr>
        <w:rFonts w:hint="eastAsia"/>
      </w:rPr>
      <w:drawing>
        <wp:anchor distT="0" distB="0" distL="114300" distR="114300" simplePos="0" relativeHeight="251659264" behindDoc="1" locked="0" layoutInCell="1" allowOverlap="1">
          <wp:simplePos x="0" y="0"/>
          <wp:positionH relativeFrom="column">
            <wp:posOffset>10795</wp:posOffset>
          </wp:positionH>
          <wp:positionV relativeFrom="paragraph">
            <wp:posOffset>-127635</wp:posOffset>
          </wp:positionV>
          <wp:extent cx="5871845" cy="337185"/>
          <wp:effectExtent l="0" t="0" r="635" b="8255"/>
          <wp:wrapTight wrapText="bothSides">
            <wp:wrapPolygon>
              <wp:start x="21592" y="-2"/>
              <wp:lineTo x="0" y="0"/>
              <wp:lineTo x="0" y="21600"/>
              <wp:lineTo x="21592" y="21602"/>
              <wp:lineTo x="8" y="21602"/>
              <wp:lineTo x="21600" y="21600"/>
              <wp:lineTo x="21600" y="0"/>
              <wp:lineTo x="8" y="-2"/>
              <wp:lineTo x="21592" y="-2"/>
            </wp:wrapPolygon>
          </wp:wrapTight>
          <wp:docPr id="4097" name="图片 4" descr="20170930内页抬头-01"/>
          <wp:cNvGraphicFramePr/>
          <a:graphic xmlns:a="http://schemas.openxmlformats.org/drawingml/2006/main">
            <a:graphicData uri="http://schemas.openxmlformats.org/drawingml/2006/picture">
              <pic:pic xmlns:pic="http://schemas.openxmlformats.org/drawingml/2006/picture">
                <pic:nvPicPr>
                  <pic:cNvPr id="4097" name="图片 4" descr="20170930内页抬头-01"/>
                  <pic:cNvPicPr/>
                </pic:nvPicPr>
                <pic:blipFill>
                  <a:blip r:embed="rId1" cstate="print"/>
                  <a:srcRect/>
                  <a:stretch>
                    <a:fillRect/>
                  </a:stretch>
                </pic:blipFill>
                <pic:spPr>
                  <a:xfrm>
                    <a:off x="0" y="0"/>
                    <a:ext cx="5871845" cy="337184"/>
                  </a:xfrm>
                  <a:prstGeom prst="rect">
                    <a:avLst/>
                  </a:prstGeom>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5DF20">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pStyle w:val="13"/>
      <w:lvlText w:val="%1."/>
      <w:lvlJc w:val="left"/>
      <w:pPr>
        <w:tabs>
          <w:tab w:val="left" w:pos="780"/>
        </w:tabs>
        <w:ind w:left="780" w:hanging="360"/>
      </w:pPr>
    </w:lvl>
  </w:abstractNum>
  <w:abstractNum w:abstractNumId="1">
    <w:nsid w:val="00000001"/>
    <w:multiLevelType w:val="multilevel"/>
    <w:tmpl w:val="00000001"/>
    <w:lvl w:ilvl="0" w:tentative="0">
      <w:start w:val="1"/>
      <w:numFmt w:val="bullet"/>
      <w:pStyle w:val="128"/>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2">
    <w:nsid w:val="00000002"/>
    <w:multiLevelType w:val="singleLevel"/>
    <w:tmpl w:val="00000002"/>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3">
    <w:nsid w:val="00000003"/>
    <w:multiLevelType w:val="multilevel"/>
    <w:tmpl w:val="00000003"/>
    <w:lvl w:ilvl="0" w:tentative="0">
      <w:start w:val="1"/>
      <w:numFmt w:val="bullet"/>
      <w:pStyle w:val="137"/>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4"/>
    <w:multiLevelType w:val="multilevel"/>
    <w:tmpl w:val="00000004"/>
    <w:lvl w:ilvl="0" w:tentative="0">
      <w:start w:val="1"/>
      <w:numFmt w:val="chineseCountingThousand"/>
      <w:pStyle w:val="5"/>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5"/>
    <w:multiLevelType w:val="multilevel"/>
    <w:tmpl w:val="00000005"/>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8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06"/>
    <w:multiLevelType w:val="multilevel"/>
    <w:tmpl w:val="00000006"/>
    <w:lvl w:ilvl="0" w:tentative="0">
      <w:start w:val="8"/>
      <w:numFmt w:val="decimal"/>
      <w:pStyle w:val="184"/>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15"/>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07"/>
    <w:multiLevelType w:val="singleLevel"/>
    <w:tmpl w:val="00000007"/>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8">
    <w:nsid w:val="00000008"/>
    <w:multiLevelType w:val="multilevel"/>
    <w:tmpl w:val="00000008"/>
    <w:lvl w:ilvl="0" w:tentative="0">
      <w:start w:val="1"/>
      <w:numFmt w:val="bullet"/>
      <w:pStyle w:val="105"/>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09"/>
    <w:multiLevelType w:val="multilevel"/>
    <w:tmpl w:val="00000009"/>
    <w:lvl w:ilvl="0" w:tentative="0">
      <w:start w:val="1"/>
      <w:numFmt w:val="decimal"/>
      <w:pStyle w:val="199"/>
      <w:lvlText w:val="(%1)"/>
      <w:lvlJc w:val="left"/>
      <w:pPr>
        <w:tabs>
          <w:tab w:val="left" w:pos="397"/>
        </w:tabs>
        <w:ind w:left="397" w:hanging="397"/>
      </w:pPr>
      <w:rPr>
        <w:rFonts w:hint="default" w:ascii="Arial" w:hAnsi="Arial"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0A"/>
    <w:multiLevelType w:val="singleLevel"/>
    <w:tmpl w:val="0000000A"/>
    <w:lvl w:ilvl="0" w:tentative="0">
      <w:start w:val="1"/>
      <w:numFmt w:val="bullet"/>
      <w:pStyle w:val="123"/>
      <w:lvlText w:val=""/>
      <w:lvlJc w:val="left"/>
      <w:pPr>
        <w:tabs>
          <w:tab w:val="left" w:pos="360"/>
        </w:tabs>
        <w:ind w:left="360" w:hanging="360"/>
      </w:pPr>
      <w:rPr>
        <w:rFonts w:hint="default" w:ascii="Wingdings" w:hAnsi="Wingdings"/>
      </w:rPr>
    </w:lvl>
  </w:abstractNum>
  <w:abstractNum w:abstractNumId="11">
    <w:nsid w:val="0000000B"/>
    <w:multiLevelType w:val="singleLevel"/>
    <w:tmpl w:val="0000000B"/>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12">
    <w:nsid w:val="0000000C"/>
    <w:multiLevelType w:val="singleLevel"/>
    <w:tmpl w:val="0000000C"/>
    <w:lvl w:ilvl="0" w:tentative="0">
      <w:start w:val="1"/>
      <w:numFmt w:val="decimal"/>
      <w:pStyle w:val="100"/>
      <w:lvlText w:val="%1)"/>
      <w:lvlJc w:val="left"/>
      <w:pPr>
        <w:tabs>
          <w:tab w:val="left" w:pos="425"/>
        </w:tabs>
        <w:ind w:left="425" w:hanging="425"/>
      </w:pPr>
      <w:rPr>
        <w:rFonts w:hint="eastAsia"/>
      </w:rPr>
    </w:lvl>
  </w:abstractNum>
  <w:abstractNum w:abstractNumId="13">
    <w:nsid w:val="0000000D"/>
    <w:multiLevelType w:val="multilevel"/>
    <w:tmpl w:val="0000000D"/>
    <w:lvl w:ilvl="0" w:tentative="0">
      <w:start w:val="1"/>
      <w:numFmt w:val="decimal"/>
      <w:pStyle w:val="15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0E"/>
    <w:multiLevelType w:val="multilevel"/>
    <w:tmpl w:val="0000000E"/>
    <w:lvl w:ilvl="0" w:tentative="0">
      <w:start w:val="1"/>
      <w:numFmt w:val="chineseCountingThousand"/>
      <w:pStyle w:val="158"/>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0"/>
  </w:num>
  <w:num w:numId="3">
    <w:abstractNumId w:val="2"/>
  </w:num>
  <w:num w:numId="4">
    <w:abstractNumId w:val="11"/>
  </w:num>
  <w:num w:numId="5">
    <w:abstractNumId w:val="7"/>
  </w:num>
  <w:num w:numId="6">
    <w:abstractNumId w:val="12"/>
  </w:num>
  <w:num w:numId="7">
    <w:abstractNumId w:val="8"/>
  </w:num>
  <w:num w:numId="8">
    <w:abstractNumId w:val="6"/>
  </w:num>
  <w:num w:numId="9">
    <w:abstractNumId w:val="10"/>
  </w:num>
  <w:num w:numId="10">
    <w:abstractNumId w:val="1"/>
  </w:num>
  <w:num w:numId="11">
    <w:abstractNumId w:val="3"/>
  </w:num>
  <w:num w:numId="12">
    <w:abstractNumId w:val="13"/>
  </w:num>
  <w:num w:numId="13">
    <w:abstractNumId w:val="14"/>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8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NGMyMzU3ZGYzMWFkMmU3ZjM1ZDE4YjZjZTE0MDQifQ=="/>
  </w:docVars>
  <w:rsids>
    <w:rsidRoot w:val="00000000"/>
    <w:rsid w:val="004F0029"/>
    <w:rsid w:val="02AE3E5E"/>
    <w:rsid w:val="05F64A80"/>
    <w:rsid w:val="0695554A"/>
    <w:rsid w:val="0D19492E"/>
    <w:rsid w:val="0F5F5645"/>
    <w:rsid w:val="19800045"/>
    <w:rsid w:val="1BA47E6A"/>
    <w:rsid w:val="1CEE726F"/>
    <w:rsid w:val="23921119"/>
    <w:rsid w:val="2AB06929"/>
    <w:rsid w:val="2F0352F8"/>
    <w:rsid w:val="30752283"/>
    <w:rsid w:val="32162C67"/>
    <w:rsid w:val="334C25D6"/>
    <w:rsid w:val="37A75B88"/>
    <w:rsid w:val="37D930DF"/>
    <w:rsid w:val="3877613D"/>
    <w:rsid w:val="3D3703C7"/>
    <w:rsid w:val="48AC684A"/>
    <w:rsid w:val="53126DA5"/>
    <w:rsid w:val="53510B80"/>
    <w:rsid w:val="57AA3D14"/>
    <w:rsid w:val="596D420B"/>
    <w:rsid w:val="59F6045B"/>
    <w:rsid w:val="5CEC3346"/>
    <w:rsid w:val="5F11788E"/>
    <w:rsid w:val="5FDB29D6"/>
    <w:rsid w:val="60E47381"/>
    <w:rsid w:val="63716EC6"/>
    <w:rsid w:val="651D2067"/>
    <w:rsid w:val="6ABE0C43"/>
    <w:rsid w:val="6E9E4C99"/>
    <w:rsid w:val="6F8D3AC0"/>
    <w:rsid w:val="716F13A8"/>
    <w:rsid w:val="72FB049E"/>
    <w:rsid w:val="77600EEA"/>
    <w:rsid w:val="78006D3F"/>
    <w:rsid w:val="7BC321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tabs>
        <w:tab w:val="left" w:pos="3360"/>
      </w:tabs>
      <w:snapToGrid w:val="0"/>
      <w:spacing w:before="312" w:beforeLines="100" w:beforeAutospacing="0" w:after="156" w:afterLines="50" w:afterAutospacing="0" w:line="800" w:lineRule="atLeast"/>
      <w:jc w:val="center"/>
      <w:outlineLvl w:val="0"/>
    </w:pPr>
    <w:rPr>
      <w:rFonts w:eastAsia="黑体"/>
      <w:sz w:val="44"/>
    </w:rPr>
  </w:style>
  <w:style w:type="paragraph" w:styleId="3">
    <w:name w:val="heading 2"/>
    <w:basedOn w:val="1"/>
    <w:next w:val="1"/>
    <w:link w:val="70"/>
    <w:qFormat/>
    <w:uiPriority w:val="0"/>
    <w:pPr>
      <w:keepNext/>
      <w:keepLines/>
      <w:adjustRightInd w:val="0"/>
      <w:snapToGrid w:val="0"/>
      <w:spacing w:line="360" w:lineRule="auto"/>
      <w:outlineLvl w:val="1"/>
    </w:pPr>
    <w:rPr>
      <w:rFonts w:ascii="宋体" w:hAnsi="宋体"/>
    </w:rPr>
  </w:style>
  <w:style w:type="paragraph" w:styleId="4">
    <w:name w:val="heading 3"/>
    <w:basedOn w:val="3"/>
    <w:next w:val="1"/>
    <w:qFormat/>
    <w:uiPriority w:val="0"/>
    <w:pPr>
      <w:keepNext/>
      <w:keepLines/>
      <w:spacing w:before="260" w:beforeAutospacing="0" w:after="260" w:afterAutospacing="0" w:line="413" w:lineRule="auto"/>
      <w:jc w:val="center"/>
      <w:outlineLvl w:val="2"/>
    </w:pPr>
    <w:rPr>
      <w:b/>
      <w:sz w:val="44"/>
    </w:rPr>
  </w:style>
  <w:style w:type="paragraph" w:styleId="5">
    <w:name w:val="heading 4"/>
    <w:basedOn w:val="1"/>
    <w:next w:val="1"/>
    <w:qFormat/>
    <w:uiPriority w:val="0"/>
    <w:pPr>
      <w:keepNext/>
      <w:keepLines/>
      <w:numPr>
        <w:ilvl w:val="0"/>
        <w:numId w:val="1"/>
      </w:numPr>
      <w:spacing w:before="560" w:after="290" w:line="377"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beforeAutospacing="0" w:after="290" w:afterAutospacing="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beforeAutospacing="0" w:after="64" w:afterAutospacing="0"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beforeAutospacing="0" w:after="64" w:afterAutospacing="0"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beforeAutospacing="0" w:after="64" w:afterAutospacing="0"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beforeAutospacing="0" w:after="64" w:afterAutospacing="0" w:line="317" w:lineRule="auto"/>
      <w:ind w:left="1584" w:hanging="1584"/>
      <w:outlineLvl w:val="8"/>
    </w:pPr>
    <w:rPr>
      <w:rFonts w:ascii="Arial" w:hAnsi="Arial" w:eastAsia="黑体"/>
      <w:b/>
      <w:sz w:val="24"/>
    </w:rPr>
  </w:style>
  <w:style w:type="character" w:default="1" w:styleId="61">
    <w:name w:val="Default Paragraph Font"/>
    <w:qFormat/>
    <w:uiPriority w:val="0"/>
  </w:style>
  <w:style w:type="table" w:default="1" w:styleId="59">
    <w:name w:val="Normal Table"/>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2"/>
      </w:numPr>
      <w:spacing w:line="360" w:lineRule="auto"/>
    </w:pPr>
    <w:rPr>
      <w:sz w:val="24"/>
    </w:rPr>
  </w:style>
  <w:style w:type="paragraph" w:styleId="14">
    <w:name w:val="List Bullet 4"/>
    <w:basedOn w:val="1"/>
    <w:qFormat/>
    <w:uiPriority w:val="0"/>
    <w:pPr>
      <w:widowControl/>
      <w:numPr>
        <w:ilvl w:val="0"/>
        <w:numId w:val="3"/>
      </w:numPr>
      <w:tabs>
        <w:tab w:val="clear" w:pos="1620"/>
      </w:tabs>
      <w:adjustRightInd w:val="0"/>
      <w:snapToGrid w:val="0"/>
      <w:spacing w:before="12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beforeAutospacing="0"/>
    </w:pPr>
    <w:rPr>
      <w:rFonts w:ascii="Arial" w:hAnsi="Arial"/>
      <w:sz w:val="24"/>
    </w:rPr>
  </w:style>
  <w:style w:type="paragraph" w:styleId="19">
    <w:name w:val="annotation text"/>
    <w:basedOn w:val="1"/>
    <w:link w:val="71"/>
    <w:qFormat/>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20">
    <w:name w:val="Body Text 3"/>
    <w:basedOn w:val="1"/>
    <w:qFormat/>
    <w:uiPriority w:val="0"/>
    <w:pPr>
      <w:adjustRightInd w:val="0"/>
      <w:snapToGrid w:val="0"/>
      <w:spacing w:after="120" w:afterAutospacing="0" w:line="360" w:lineRule="auto"/>
    </w:pPr>
    <w:rPr>
      <w:sz w:val="16"/>
    </w:rPr>
  </w:style>
  <w:style w:type="paragraph" w:styleId="21">
    <w:name w:val="List Bullet 3"/>
    <w:basedOn w:val="1"/>
    <w:qFormat/>
    <w:uiPriority w:val="0"/>
    <w:pPr>
      <w:numPr>
        <w:ilvl w:val="0"/>
        <w:numId w:val="4"/>
      </w:numPr>
      <w:adjustRightInd w:val="0"/>
      <w:snapToGrid w:val="0"/>
      <w:spacing w:line="360" w:lineRule="auto"/>
    </w:pPr>
    <w:rPr>
      <w:sz w:val="24"/>
    </w:rPr>
  </w:style>
  <w:style w:type="paragraph" w:styleId="22">
    <w:name w:val="Body Text"/>
    <w:basedOn w:val="1"/>
    <w:qFormat/>
    <w:uiPriority w:val="0"/>
    <w:rPr>
      <w:rFonts w:ascii="仿宋_GB2312" w:eastAsia="仿宋_GB2312"/>
      <w:kern w:val="2"/>
      <w:sz w:val="32"/>
    </w:rPr>
  </w:style>
  <w:style w:type="paragraph" w:styleId="23">
    <w:name w:val="Body Text Indent"/>
    <w:basedOn w:val="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Autospacing="0" w:line="360" w:lineRule="auto"/>
      <w:ind w:left="420" w:leftChars="200"/>
    </w:pPr>
    <w:rPr>
      <w:sz w:val="24"/>
    </w:rPr>
  </w:style>
  <w:style w:type="paragraph" w:styleId="27">
    <w:name w:val="List Bullet 2"/>
    <w:basedOn w:val="1"/>
    <w:qFormat/>
    <w:uiPriority w:val="0"/>
    <w:pPr>
      <w:numPr>
        <w:ilvl w:val="0"/>
        <w:numId w:val="5"/>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0"/>
    <w:pPr>
      <w:ind w:left="840" w:leftChars="400"/>
    </w:pPr>
  </w:style>
  <w:style w:type="paragraph" w:styleId="30">
    <w:name w:val="Plain Text"/>
    <w:basedOn w:val="1"/>
    <w:next w:val="31"/>
    <w:qFormat/>
    <w:uiPriority w:val="0"/>
    <w:pPr>
      <w:adjustRightInd w:val="0"/>
      <w:snapToGrid w:val="0"/>
      <w:spacing w:line="360" w:lineRule="auto"/>
    </w:pPr>
    <w:rPr>
      <w:rFonts w:ascii="宋体" w:hAnsi="Courier New"/>
      <w:sz w:val="21"/>
    </w:rPr>
  </w:style>
  <w:style w:type="paragraph" w:customStyle="1" w:styleId="31">
    <w:name w:val="Default"/>
    <w:basedOn w:val="32"/>
    <w:next w:val="1"/>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customStyle="1" w:styleId="32">
    <w:name w:val="00 扬讯-正文"/>
    <w:basedOn w:val="1"/>
    <w:qFormat/>
    <w:uiPriority w:val="0"/>
    <w:pPr>
      <w:widowControl/>
      <w:ind w:firstLine="200"/>
    </w:pPr>
    <w:rPr>
      <w:color w:val="333333"/>
      <w:sz w:val="28"/>
    </w:rPr>
  </w:style>
  <w:style w:type="paragraph" w:styleId="33">
    <w:name w:val="toc 8"/>
    <w:basedOn w:val="1"/>
    <w:next w:val="1"/>
    <w:qFormat/>
    <w:uiPriority w:val="0"/>
    <w:pPr>
      <w:ind w:left="2940" w:leftChars="1400"/>
    </w:pPr>
  </w:style>
  <w:style w:type="paragraph" w:styleId="34">
    <w:name w:val="Date"/>
    <w:basedOn w:val="1"/>
    <w:next w:val="1"/>
    <w:link w:val="72"/>
    <w:qFormat/>
    <w:uiPriority w:val="0"/>
  </w:style>
  <w:style w:type="paragraph" w:styleId="35">
    <w:name w:val="Body Text Indent 2"/>
    <w:basedOn w:val="1"/>
    <w:qFormat/>
    <w:uiPriority w:val="0"/>
    <w:pPr>
      <w:snapToGrid w:val="0"/>
      <w:spacing w:line="440" w:lineRule="atLeast"/>
      <w:ind w:firstLine="570"/>
    </w:pPr>
    <w:rPr>
      <w:rFonts w:ascii="宋体"/>
    </w:r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38">
    <w:name w:val="header"/>
    <w:basedOn w:val="1"/>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39">
    <w:name w:val="toc 1"/>
    <w:basedOn w:val="1"/>
    <w:next w:val="1"/>
    <w:qFormat/>
    <w:uiPriority w:val="39"/>
    <w:pPr>
      <w:tabs>
        <w:tab w:val="left" w:pos="1260"/>
        <w:tab w:val="left" w:pos="1685"/>
        <w:tab w:val="right" w:leader="dot" w:pos="8400"/>
      </w:tabs>
      <w:spacing w:line="320" w:lineRule="exact"/>
      <w:ind w:firstLine="280" w:firstLineChars="100"/>
    </w:pPr>
    <w:rPr>
      <w:rFonts w:ascii="Times New Roman" w:hAnsi="Times New Roman" w:eastAsia="宋体"/>
      <w:b/>
    </w:rPr>
  </w:style>
  <w:style w:type="paragraph" w:styleId="40">
    <w:name w:val="List Continue 4"/>
    <w:basedOn w:val="1"/>
    <w:qFormat/>
    <w:uiPriority w:val="0"/>
    <w:pPr>
      <w:adjustRightInd w:val="0"/>
      <w:snapToGrid w:val="0"/>
      <w:spacing w:after="120" w:afterAutospacing="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tabs>
        <w:tab w:val="right" w:leader="dot" w:pos="8400"/>
      </w:tabs>
      <w:spacing w:line="440" w:lineRule="exact"/>
      <w:ind w:left="280" w:leftChars="100" w:rightChars="-91"/>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afterAutospacing="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afterAutospacing="0" w:line="360" w:lineRule="auto"/>
      <w:ind w:left="840" w:leftChars="400"/>
    </w:pPr>
    <w:rPr>
      <w:sz w:val="24"/>
    </w:rPr>
  </w:style>
  <w:style w:type="paragraph" w:styleId="52">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3">
    <w:name w:val="List Continue 3"/>
    <w:basedOn w:val="1"/>
    <w:qFormat/>
    <w:uiPriority w:val="0"/>
    <w:pPr>
      <w:adjustRightInd w:val="0"/>
      <w:snapToGrid w:val="0"/>
      <w:spacing w:after="12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Autospacing="0" w:line="360" w:lineRule="auto"/>
      <w:jc w:val="center"/>
    </w:pPr>
    <w:rPr>
      <w:rFonts w:ascii="Arial" w:hAnsi="Arial" w:eastAsia="宋体"/>
      <w:b/>
      <w:smallCaps/>
      <w:kern w:val="28"/>
      <w:sz w:val="36"/>
      <w:lang w:val="en-US" w:eastAsia="en-US"/>
    </w:rPr>
  </w:style>
  <w:style w:type="paragraph" w:styleId="56">
    <w:name w:val="annotation subject"/>
    <w:basedOn w:val="19"/>
    <w:next w:val="19"/>
    <w:qFormat/>
    <w:uiPriority w:val="0"/>
    <w:pPr>
      <w:widowControl w:val="0"/>
      <w:tabs>
        <w:tab w:val="clear" w:pos="1134"/>
      </w:tabs>
      <w:adjustRightInd/>
      <w:snapToGrid/>
      <w:spacing w:line="240" w:lineRule="auto"/>
    </w:pPr>
    <w:rPr>
      <w:rFonts w:eastAsia="宋体"/>
      <w:b/>
      <w:kern w:val="2"/>
      <w:sz w:val="21"/>
      <w:lang w:val="en-US" w:eastAsia="zh-CN"/>
    </w:rPr>
  </w:style>
  <w:style w:type="paragraph" w:styleId="57">
    <w:name w:val="Body Text First Indent"/>
    <w:basedOn w:val="22"/>
    <w:qFormat/>
    <w:uiPriority w:val="0"/>
    <w:pPr>
      <w:spacing w:line="360" w:lineRule="auto"/>
      <w:ind w:firstLine="420"/>
    </w:pPr>
    <w:rPr>
      <w:rFonts w:ascii="宋体" w:hAnsi="宋体"/>
      <w:sz w:val="24"/>
    </w:rPr>
  </w:style>
  <w:style w:type="paragraph" w:styleId="58">
    <w:name w:val="Body Text First Indent 2"/>
    <w:basedOn w:val="23"/>
    <w:next w:val="1"/>
    <w:qFormat/>
    <w:uiPriority w:val="0"/>
    <w:pPr>
      <w:spacing w:after="120" w:afterAutospacing="0" w:line="240" w:lineRule="auto"/>
      <w:ind w:left="420" w:leftChars="200" w:firstLine="420" w:firstLineChars="200"/>
    </w:pPr>
    <w:rPr>
      <w:sz w:val="21"/>
    </w:r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qFormat/>
    <w:uiPriority w:val="0"/>
  </w:style>
  <w:style w:type="character" w:styleId="64">
    <w:name w:val="FollowedHyperlink"/>
    <w:basedOn w:val="61"/>
    <w:qFormat/>
    <w:uiPriority w:val="0"/>
    <w:rPr>
      <w:color w:val="156356"/>
      <w:u w:val="none"/>
    </w:rPr>
  </w:style>
  <w:style w:type="character" w:styleId="65">
    <w:name w:val="Emphasis"/>
    <w:qFormat/>
    <w:uiPriority w:val="0"/>
    <w:rPr>
      <w:i/>
    </w:rPr>
  </w:style>
  <w:style w:type="character" w:styleId="66">
    <w:name w:val="Hyperlink"/>
    <w:basedOn w:val="61"/>
    <w:qFormat/>
    <w:uiPriority w:val="99"/>
    <w:rPr>
      <w:color w:val="FFFFFF"/>
      <w:u w:val="single"/>
      <w:shd w:val="clear" w:color="auto" w:fill="009688"/>
    </w:rPr>
  </w:style>
  <w:style w:type="character" w:styleId="67">
    <w:name w:val="annotation reference"/>
    <w:qFormat/>
    <w:uiPriority w:val="0"/>
    <w:rPr>
      <w:sz w:val="21"/>
    </w:rPr>
  </w:style>
  <w:style w:type="character" w:styleId="68">
    <w:name w:val="footnote reference"/>
    <w:qFormat/>
    <w:uiPriority w:val="0"/>
    <w:rPr>
      <w:position w:val="6"/>
      <w:sz w:val="14"/>
      <w:vertAlign w:val="superscript"/>
    </w:rPr>
  </w:style>
  <w:style w:type="paragraph" w:customStyle="1" w:styleId="6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2 Char"/>
    <w:link w:val="3"/>
    <w:qFormat/>
    <w:uiPriority w:val="0"/>
    <w:rPr>
      <w:rFonts w:ascii="宋体" w:hAnsi="宋体"/>
      <w:kern w:val="2"/>
      <w:sz w:val="28"/>
    </w:rPr>
  </w:style>
  <w:style w:type="character" w:customStyle="1" w:styleId="71">
    <w:name w:val="批注文字 Char"/>
    <w:link w:val="19"/>
    <w:qFormat/>
    <w:uiPriority w:val="0"/>
    <w:rPr>
      <w:rFonts w:eastAsia="PMingLiU"/>
      <w:sz w:val="24"/>
      <w:lang w:eastAsia="zh-TW"/>
    </w:rPr>
  </w:style>
  <w:style w:type="character" w:customStyle="1" w:styleId="72">
    <w:name w:val="日期 Char"/>
    <w:link w:val="34"/>
    <w:qFormat/>
    <w:uiPriority w:val="0"/>
    <w:rPr>
      <w:kern w:val="2"/>
      <w:sz w:val="28"/>
    </w:rPr>
  </w:style>
  <w:style w:type="character" w:customStyle="1" w:styleId="73">
    <w:name w:val="正文 + 三号 Char"/>
    <w:qFormat/>
    <w:uiPriority w:val="0"/>
    <w:rPr>
      <w:rFonts w:eastAsia="宋体"/>
      <w:kern w:val="2"/>
      <w:sz w:val="21"/>
      <w:lang w:val="en-US" w:eastAsia="zh-CN"/>
    </w:rPr>
  </w:style>
  <w:style w:type="character" w:customStyle="1" w:styleId="74">
    <w:name w:val="content-white1"/>
    <w:qFormat/>
    <w:uiPriority w:val="0"/>
    <w:rPr>
      <w:rFonts w:ascii="_x000B__x000C_" w:hAnsi="_x000B__x000C_"/>
      <w:color w:val="auto"/>
      <w:sz w:val="18"/>
      <w:u w:val="none"/>
    </w:rPr>
  </w:style>
  <w:style w:type="character" w:customStyle="1" w:styleId="75">
    <w:name w:val=" Char Char"/>
    <w:qFormat/>
    <w:uiPriority w:val="0"/>
    <w:rPr>
      <w:rFonts w:ascii="宋体" w:hAnsi="宋体" w:eastAsia="宋体"/>
      <w:kern w:val="2"/>
      <w:sz w:val="24"/>
      <w:lang w:val="en-US" w:eastAsia="zh-CN" w:bidi="ar-SA"/>
    </w:rPr>
  </w:style>
  <w:style w:type="character" w:customStyle="1" w:styleId="76">
    <w:name w:val=" Char Char5"/>
    <w:qFormat/>
    <w:uiPriority w:val="0"/>
    <w:rPr>
      <w:rFonts w:ascii="Arial" w:hAnsi="Arial" w:eastAsia="宋体"/>
      <w:b/>
      <w:smallCaps/>
      <w:kern w:val="28"/>
      <w:sz w:val="36"/>
      <w:lang w:val="en-US" w:eastAsia="en-US"/>
    </w:rPr>
  </w:style>
  <w:style w:type="character" w:customStyle="1" w:styleId="77">
    <w:name w:val=" Char Char4"/>
    <w:qFormat/>
    <w:uiPriority w:val="0"/>
    <w:rPr>
      <w:rFonts w:eastAsia="宋体"/>
      <w:b/>
      <w:kern w:val="2"/>
      <w:sz w:val="21"/>
      <w:lang w:val="en-US" w:eastAsia="zh-CN"/>
    </w:rPr>
  </w:style>
  <w:style w:type="character" w:customStyle="1" w:styleId="78">
    <w:name w:val="样式 宋体"/>
    <w:qFormat/>
    <w:uiPriority w:val="0"/>
    <w:rPr>
      <w:rFonts w:ascii="宋体" w:hAnsi="宋体" w:eastAsia="宋体"/>
      <w:sz w:val="28"/>
    </w:rPr>
  </w:style>
  <w:style w:type="character" w:customStyle="1" w:styleId="79">
    <w:name w:val=" Char Char7"/>
    <w:qFormat/>
    <w:uiPriority w:val="0"/>
    <w:rPr>
      <w:rFonts w:ascii="宋体" w:hAnsi="宋体" w:eastAsia="宋体"/>
      <w:kern w:val="2"/>
      <w:sz w:val="28"/>
    </w:rPr>
  </w:style>
  <w:style w:type="character" w:customStyle="1" w:styleId="80">
    <w:name w:val=" Char Char6"/>
    <w:qFormat/>
    <w:uiPriority w:val="0"/>
    <w:rPr>
      <w:rFonts w:ascii="仿宋_GB2312" w:eastAsia="仿宋_GB2312"/>
      <w:kern w:val="2"/>
      <w:sz w:val="32"/>
    </w:rPr>
  </w:style>
  <w:style w:type="character" w:customStyle="1" w:styleId="81">
    <w:name w:val=" Char Char2"/>
    <w:qFormat/>
    <w:uiPriority w:val="0"/>
    <w:rPr>
      <w:rFonts w:eastAsia="宋体"/>
      <w:kern w:val="2"/>
      <w:sz w:val="18"/>
      <w:lang w:val="en-US" w:eastAsia="zh-CN"/>
    </w:rPr>
  </w:style>
  <w:style w:type="character" w:customStyle="1" w:styleId="82">
    <w:name w:val="font1"/>
    <w:qFormat/>
    <w:uiPriority w:val="0"/>
    <w:rPr>
      <w:color w:val="000000"/>
      <w:sz w:val="18"/>
    </w:rPr>
  </w:style>
  <w:style w:type="character" w:customStyle="1" w:styleId="83">
    <w:name w:val="小 Char"/>
    <w:qFormat/>
    <w:uiPriority w:val="0"/>
    <w:rPr>
      <w:rFonts w:ascii="宋体" w:hAnsi="Courier New" w:eastAsia="宋体"/>
      <w:kern w:val="2"/>
      <w:sz w:val="21"/>
      <w:lang w:val="en-US" w:eastAsia="zh-CN" w:bidi="ar-SA"/>
    </w:rPr>
  </w:style>
  <w:style w:type="character" w:customStyle="1" w:styleId="84">
    <w:name w:val="v151"/>
    <w:qFormat/>
    <w:uiPriority w:val="0"/>
    <w:rPr>
      <w:sz w:val="18"/>
    </w:rPr>
  </w:style>
  <w:style w:type="character" w:customStyle="1" w:styleId="85">
    <w:name w:val="Table Text Char Char Char Char"/>
    <w:qFormat/>
    <w:uiPriority w:val="0"/>
    <w:rPr>
      <w:rFonts w:ascii="Arial" w:hAnsi="Arial"/>
      <w:kern w:val="2"/>
      <w:sz w:val="18"/>
      <w:lang w:val="en-US" w:eastAsia="zh-CN" w:bidi="ar-SA"/>
    </w:rPr>
  </w:style>
  <w:style w:type="character" w:customStyle="1" w:styleId="86">
    <w:name w:val="Table Text Char1 Char"/>
    <w:qFormat/>
    <w:uiPriority w:val="0"/>
    <w:rPr>
      <w:rFonts w:ascii="Arial" w:hAnsi="Arial"/>
      <w:kern w:val="2"/>
      <w:sz w:val="18"/>
      <w:lang w:val="en-US" w:eastAsia="zh-CN" w:bidi="ar-SA"/>
    </w:rPr>
  </w:style>
  <w:style w:type="character" w:customStyle="1" w:styleId="87">
    <w:name w:val="Table Text Char"/>
    <w:qFormat/>
    <w:uiPriority w:val="0"/>
    <w:rPr>
      <w:rFonts w:ascii="Arial" w:hAnsi="Arial"/>
      <w:kern w:val="2"/>
      <w:sz w:val="18"/>
      <w:lang w:val="en-US" w:eastAsia="zh-CN" w:bidi="ar-SA"/>
    </w:rPr>
  </w:style>
  <w:style w:type="character" w:customStyle="1" w:styleId="88">
    <w:name w:val="文字 Char"/>
    <w:link w:val="89"/>
    <w:qFormat/>
    <w:uiPriority w:val="0"/>
    <w:rPr>
      <w:rFonts w:ascii="宋体" w:eastAsia="宋体"/>
      <w:kern w:val="2"/>
      <w:sz w:val="28"/>
      <w:lang w:val="en-US" w:eastAsia="zh-CN" w:bidi="ar-SA"/>
    </w:rPr>
  </w:style>
  <w:style w:type="paragraph" w:customStyle="1" w:styleId="89">
    <w:name w:val="文字"/>
    <w:basedOn w:val="1"/>
    <w:link w:val="88"/>
    <w:qFormat/>
    <w:uiPriority w:val="0"/>
    <w:pPr>
      <w:tabs>
        <w:tab w:val="left" w:pos="8520"/>
      </w:tabs>
      <w:spacing w:line="312" w:lineRule="auto"/>
      <w:ind w:right="-210" w:firstLine="556"/>
    </w:pPr>
    <w:rPr>
      <w:rFonts w:ascii="宋体"/>
    </w:rPr>
  </w:style>
  <w:style w:type="character" w:customStyle="1" w:styleId="90">
    <w:name w:val="标书正文:  0.74 厘米 Char1"/>
    <w:qFormat/>
    <w:uiPriority w:val="0"/>
    <w:rPr>
      <w:rFonts w:eastAsia="宋体"/>
      <w:kern w:val="2"/>
      <w:sz w:val="24"/>
      <w:lang w:val="en-US" w:eastAsia="zh-CN"/>
    </w:rPr>
  </w:style>
  <w:style w:type="character" w:customStyle="1" w:styleId="91">
    <w:name w:val="crowed11"/>
    <w:qFormat/>
    <w:uiPriority w:val="0"/>
    <w:rPr>
      <w:rFonts w:hint="default" w:ascii="_x000B__x000C_" w:hAnsi="_x000B__x000C_"/>
      <w:sz w:val="24"/>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未命名11"/>
    <w:qFormat/>
    <w:uiPriority w:val="0"/>
    <w:rPr>
      <w:color w:val="77FFFF"/>
      <w:sz w:val="24"/>
    </w:rPr>
  </w:style>
  <w:style w:type="character" w:customStyle="1" w:styleId="94">
    <w:name w:val=" Char Char3"/>
    <w:qFormat/>
    <w:uiPriority w:val="0"/>
    <w:rPr>
      <w:rFonts w:eastAsia="宋体"/>
      <w:kern w:val="2"/>
      <w:sz w:val="18"/>
      <w:lang w:val="en-US" w:eastAsia="zh-CN"/>
    </w:rPr>
  </w:style>
  <w:style w:type="character" w:customStyle="1" w:styleId="95">
    <w:name w:val="top-det1"/>
    <w:qFormat/>
    <w:uiPriority w:val="0"/>
    <w:rPr>
      <w:b/>
      <w:color w:val="000000"/>
    </w:rPr>
  </w:style>
  <w:style w:type="paragraph" w:customStyle="1" w:styleId="96">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97">
    <w:name w:val="样式 标题 1章标题Heading 0Section HeadPIM 1H1h11st levell11H1..."/>
    <w:basedOn w:val="2"/>
    <w:qFormat/>
    <w:uiPriority w:val="0"/>
    <w:pPr>
      <w:keepLines/>
      <w:pageBreakBefore/>
      <w:tabs>
        <w:tab w:val="clear" w:pos="3360"/>
      </w:tabs>
      <w:autoSpaceDE w:val="0"/>
      <w:autoSpaceDN w:val="0"/>
      <w:adjustRightInd w:val="0"/>
      <w:spacing w:before="340" w:beforeAutospacing="0" w:after="330" w:afterAutospacing="0" w:line="578" w:lineRule="atLeast"/>
      <w:jc w:val="both"/>
      <w:textAlignment w:val="bottom"/>
    </w:pPr>
    <w:rPr>
      <w:rFonts w:ascii="宋体" w:hAnsi="宋体"/>
      <w:b/>
      <w:kern w:val="44"/>
      <w:sz w:val="36"/>
    </w:rPr>
  </w:style>
  <w:style w:type="paragraph" w:customStyle="1" w:styleId="98">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99">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00">
    <w:name w:val="操作步骤"/>
    <w:basedOn w:val="1"/>
    <w:qFormat/>
    <w:uiPriority w:val="0"/>
    <w:pPr>
      <w:numPr>
        <w:ilvl w:val="0"/>
        <w:numId w:val="6"/>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01">
    <w:name w:val="标题3——2"/>
    <w:basedOn w:val="4"/>
    <w:next w:val="57"/>
    <w:qFormat/>
    <w:uiPriority w:val="0"/>
    <w:pPr>
      <w:tabs>
        <w:tab w:val="left" w:pos="1280"/>
        <w:tab w:val="right" w:leader="dot" w:pos="8777"/>
      </w:tabs>
      <w:spacing w:before="312" w:beforeLines="100" w:beforeAutospacing="0" w:after="0" w:afterAutospacing="0" w:line="240" w:lineRule="auto"/>
      <w:ind w:left="851" w:hanging="851"/>
      <w:jc w:val="both"/>
      <w:outlineLvl w:val="9"/>
    </w:pPr>
    <w:rPr>
      <w:rFonts w:ascii="黑体" w:hAnsi="宋体" w:eastAsia="黑体"/>
      <w:sz w:val="30"/>
    </w:rPr>
  </w:style>
  <w:style w:type="paragraph" w:customStyle="1" w:styleId="102">
    <w:name w:val=" Char Char1"/>
    <w:basedOn w:val="1"/>
    <w:qFormat/>
    <w:uiPriority w:val="0"/>
    <w:pPr>
      <w:widowControl/>
      <w:spacing w:after="160" w:afterAutospacing="0" w:line="240" w:lineRule="exact"/>
      <w:jc w:val="left"/>
    </w:pPr>
    <w:rPr>
      <w:rFonts w:ascii="Verdana" w:hAnsi="Verdana"/>
      <w:kern w:val="0"/>
      <w:sz w:val="20"/>
      <w:lang w:eastAsia="en-US"/>
    </w:rPr>
  </w:style>
  <w:style w:type="paragraph" w:customStyle="1" w:styleId="103">
    <w:name w:val="正文（首行不缩进）"/>
    <w:basedOn w:val="1"/>
    <w:qFormat/>
    <w:uiPriority w:val="0"/>
    <w:pPr>
      <w:autoSpaceDE w:val="0"/>
      <w:autoSpaceDN w:val="0"/>
      <w:adjustRightInd w:val="0"/>
      <w:spacing w:line="360" w:lineRule="auto"/>
      <w:jc w:val="left"/>
    </w:pPr>
    <w:rPr>
      <w:kern w:val="0"/>
      <w:sz w:val="21"/>
    </w:rPr>
  </w:style>
  <w:style w:type="paragraph" w:customStyle="1" w:styleId="104">
    <w:name w:val="1.正文"/>
    <w:basedOn w:val="1"/>
    <w:qFormat/>
    <w:uiPriority w:val="0"/>
    <w:pPr>
      <w:spacing w:line="360" w:lineRule="auto"/>
      <w:ind w:left="540" w:leftChars="225" w:firstLine="540" w:firstLineChars="225"/>
    </w:pPr>
    <w:rPr>
      <w:sz w:val="24"/>
    </w:rPr>
  </w:style>
  <w:style w:type="paragraph" w:customStyle="1" w:styleId="105">
    <w:name w:val="Item List"/>
    <w:qFormat/>
    <w:uiPriority w:val="0"/>
    <w:pPr>
      <w:numPr>
        <w:ilvl w:val="0"/>
        <w:numId w:val="7"/>
      </w:numPr>
      <w:spacing w:line="300" w:lineRule="auto"/>
      <w:jc w:val="both"/>
    </w:pPr>
    <w:rPr>
      <w:rFonts w:ascii="Arial" w:hAnsi="Arial" w:eastAsia="宋体" w:cs="Times New Roman"/>
      <w:sz w:val="21"/>
      <w:lang w:val="en-US" w:eastAsia="zh-CN" w:bidi="ar-SA"/>
    </w:rPr>
  </w:style>
  <w:style w:type="paragraph" w:customStyle="1" w:styleId="106">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07">
    <w:name w:val="Title - Revision"/>
    <w:basedOn w:val="55"/>
    <w:qFormat/>
    <w:uiPriority w:val="0"/>
    <w:pPr>
      <w:spacing w:before="720" w:beforeAutospacing="0"/>
    </w:pPr>
  </w:style>
  <w:style w:type="paragraph" w:customStyle="1" w:styleId="10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09">
    <w:name w:val="图片文字"/>
    <w:basedOn w:val="1"/>
    <w:qFormat/>
    <w:uiPriority w:val="0"/>
    <w:pPr>
      <w:spacing w:line="240" w:lineRule="atLeast"/>
      <w:jc w:val="center"/>
    </w:pPr>
    <w:rPr>
      <w:sz w:val="21"/>
    </w:rPr>
  </w:style>
  <w:style w:type="paragraph" w:customStyle="1" w:styleId="110">
    <w:name w:val="Table Contents"/>
    <w:basedOn w:val="22"/>
    <w:qFormat/>
    <w:uiPriority w:val="0"/>
    <w:pPr>
      <w:suppressAutoHyphens/>
      <w:jc w:val="left"/>
    </w:pPr>
    <w:rPr>
      <w:rFonts w:ascii="Times New Roman" w:eastAsia="Times New Roman"/>
      <w:kern w:val="0"/>
      <w:sz w:val="24"/>
    </w:rPr>
  </w:style>
  <w:style w:type="paragraph" w:customStyle="1" w:styleId="111">
    <w:name w:val="表格文本"/>
    <w:qFormat/>
    <w:uiPriority w:val="0"/>
    <w:pPr>
      <w:tabs>
        <w:tab w:val="decimal" w:pos="0"/>
      </w:tabs>
    </w:pPr>
    <w:rPr>
      <w:rFonts w:ascii="Arial" w:hAnsi="Arial" w:eastAsia="宋体" w:cs="Times New Roman"/>
      <w:sz w:val="21"/>
      <w:lang w:val="en-US" w:eastAsia="zh-CN" w:bidi="ar-SA"/>
    </w:rPr>
  </w:style>
  <w:style w:type="paragraph" w:customStyle="1" w:styleId="112">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13">
    <w:name w:val=" Char Char1 Char Char Char Char Char Char Char Char Char Char Char Char Char Char"/>
    <w:basedOn w:val="1"/>
    <w:qFormat/>
    <w:uiPriority w:val="0"/>
    <w:pPr>
      <w:widowControl/>
      <w:spacing w:after="160" w:afterAutospacing="0" w:line="240" w:lineRule="exact"/>
      <w:jc w:val="left"/>
    </w:pPr>
    <w:rPr>
      <w:rFonts w:ascii="Verdana" w:hAnsi="Verdana"/>
      <w:kern w:val="0"/>
      <w:sz w:val="20"/>
      <w:lang w:eastAsia="en-US"/>
    </w:rPr>
  </w:style>
  <w:style w:type="paragraph" w:customStyle="1" w:styleId="11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15">
    <w:name w:val="Style Heading 3h3Heading 3 - oldLevel 3 HeadH3level_3PIM 3se..."/>
    <w:basedOn w:val="4"/>
    <w:qFormat/>
    <w:uiPriority w:val="0"/>
    <w:pPr>
      <w:numPr>
        <w:ilvl w:val="2"/>
        <w:numId w:val="8"/>
      </w:numPr>
      <w:jc w:val="both"/>
    </w:pPr>
    <w:rPr>
      <w:sz w:val="32"/>
    </w:rPr>
  </w:style>
  <w:style w:type="paragraph" w:customStyle="1" w:styleId="116">
    <w:name w:val="样式3"/>
    <w:basedOn w:val="2"/>
    <w:next w:val="2"/>
    <w:qFormat/>
    <w:uiPriority w:val="0"/>
    <w:pPr>
      <w:keepLines/>
      <w:tabs>
        <w:tab w:val="clear" w:pos="3360"/>
      </w:tabs>
      <w:adjustRightInd w:val="0"/>
      <w:spacing w:before="340" w:beforeAutospacing="0" w:after="330" w:afterAutospacing="0" w:line="576" w:lineRule="auto"/>
      <w:jc w:val="both"/>
    </w:pPr>
    <w:rPr>
      <w:b/>
      <w:kern w:val="44"/>
    </w:rPr>
  </w:style>
  <w:style w:type="paragraph" w:customStyle="1" w:styleId="117">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18">
    <w:name w:val="标题2"/>
    <w:basedOn w:val="3"/>
    <w:qFormat/>
    <w:uiPriority w:val="0"/>
    <w:pPr>
      <w:keepNext w:val="0"/>
      <w:keepLines w:val="0"/>
      <w:snapToGrid w:val="0"/>
      <w:spacing w:before="0" w:beforeAutospacing="0" w:after="0" w:afterAutospacing="0"/>
      <w:ind w:firstLine="574" w:firstLineChars="196"/>
      <w:outlineLvl w:val="9"/>
    </w:pPr>
    <w:rPr>
      <w:b/>
      <w:spacing w:val="6"/>
      <w:u w:val="single"/>
    </w:rPr>
  </w:style>
  <w:style w:type="paragraph" w:customStyle="1" w:styleId="119">
    <w:name w:val="首行缩进"/>
    <w:basedOn w:val="1"/>
    <w:qFormat/>
    <w:uiPriority w:val="0"/>
    <w:pPr>
      <w:spacing w:line="360" w:lineRule="auto"/>
      <w:ind w:firstLine="420" w:firstLineChars="200"/>
    </w:pPr>
    <w:rPr>
      <w:sz w:val="21"/>
    </w:rPr>
  </w:style>
  <w:style w:type="paragraph" w:customStyle="1" w:styleId="120">
    <w:name w:val="标准正文"/>
    <w:basedOn w:val="23"/>
    <w:qFormat/>
    <w:uiPriority w:val="0"/>
    <w:pPr>
      <w:spacing w:before="60" w:beforeAutospacing="0" w:after="60" w:afterAutospacing="0" w:line="360" w:lineRule="auto"/>
      <w:ind w:left="0" w:firstLine="482"/>
    </w:pPr>
    <w:rPr>
      <w:rFonts w:ascii="Arial" w:hAnsi="Arial"/>
      <w:sz w:val="24"/>
    </w:rPr>
  </w:style>
  <w:style w:type="paragraph" w:customStyle="1" w:styleId="121">
    <w:name w:val="表格内文字"/>
    <w:basedOn w:val="30"/>
    <w:qFormat/>
    <w:uiPriority w:val="0"/>
    <w:pPr>
      <w:snapToGrid/>
      <w:spacing w:line="240" w:lineRule="auto"/>
    </w:pPr>
    <w:rPr>
      <w:color w:val="000000"/>
      <w:lang w:val="en-GB"/>
    </w:rPr>
  </w:style>
  <w:style w:type="paragraph" w:customStyle="1" w:styleId="122">
    <w:name w:val="标书正文:  0.74 厘米"/>
    <w:basedOn w:val="1"/>
    <w:qFormat/>
    <w:uiPriority w:val="0"/>
    <w:pPr>
      <w:snapToGrid w:val="0"/>
      <w:spacing w:line="360" w:lineRule="auto"/>
      <w:ind w:firstLine="420"/>
    </w:pPr>
    <w:rPr>
      <w:rFonts w:eastAsia="宋体"/>
      <w:kern w:val="2"/>
      <w:sz w:val="24"/>
      <w:lang w:val="en-US" w:eastAsia="zh-CN"/>
    </w:rPr>
  </w:style>
  <w:style w:type="paragraph" w:customStyle="1" w:styleId="123">
    <w:name w:val="表号"/>
    <w:basedOn w:val="1"/>
    <w:qFormat/>
    <w:uiPriority w:val="0"/>
    <w:pPr>
      <w:numPr>
        <w:ilvl w:val="0"/>
        <w:numId w:val="9"/>
      </w:numPr>
      <w:tabs>
        <w:tab w:val="clear" w:pos="360"/>
      </w:tabs>
      <w:autoSpaceDE w:val="0"/>
      <w:autoSpaceDN w:val="0"/>
      <w:adjustRightInd w:val="0"/>
      <w:spacing w:before="210" w:after="210"/>
      <w:ind w:left="425" w:hanging="137"/>
      <w:jc w:val="center"/>
    </w:pPr>
    <w:rPr>
      <w:kern w:val="0"/>
      <w:sz w:val="21"/>
      <w:lang w:eastAsia="en-US"/>
    </w:rPr>
  </w:style>
  <w:style w:type="paragraph" w:customStyle="1" w:styleId="124">
    <w:name w:val="样式 标题 6第五层条 + 三号 段前: 0.5 行"/>
    <w:basedOn w:val="7"/>
    <w:qFormat/>
    <w:uiPriority w:val="0"/>
    <w:pPr>
      <w:widowControl/>
      <w:numPr>
        <w:ilvl w:val="5"/>
        <w:numId w:val="0"/>
      </w:numPr>
      <w:adjustRightInd/>
      <w:snapToGrid/>
      <w:spacing w:before="156" w:beforeLines="50" w:beforeAutospacing="0"/>
      <w:ind w:left="1152" w:hanging="1152"/>
      <w:jc w:val="left"/>
    </w:pPr>
    <w:rPr>
      <w:snapToGrid w:val="0"/>
      <w:kern w:val="24"/>
      <w:sz w:val="28"/>
    </w:rPr>
  </w:style>
  <w:style w:type="paragraph" w:customStyle="1" w:styleId="125">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26">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27">
    <w:name w:val="关键词"/>
    <w:basedOn w:val="1"/>
    <w:next w:val="1"/>
    <w:qFormat/>
    <w:uiPriority w:val="0"/>
    <w:pPr>
      <w:spacing w:line="360" w:lineRule="auto"/>
    </w:pPr>
    <w:rPr>
      <w:rFonts w:eastAsia="黑体"/>
      <w:sz w:val="20"/>
    </w:rPr>
  </w:style>
  <w:style w:type="paragraph" w:customStyle="1" w:styleId="128">
    <w:name w:val="列表项目"/>
    <w:basedOn w:val="1"/>
    <w:qFormat/>
    <w:uiPriority w:val="0"/>
    <w:pPr>
      <w:numPr>
        <w:ilvl w:val="0"/>
        <w:numId w:val="10"/>
      </w:numPr>
      <w:tabs>
        <w:tab w:val="clear" w:pos="980"/>
      </w:tabs>
      <w:spacing w:line="288" w:lineRule="auto"/>
      <w:ind w:left="840" w:leftChars="200" w:hanging="420" w:hangingChars="200"/>
    </w:pPr>
    <w:rPr>
      <w:sz w:val="21"/>
    </w:rPr>
  </w:style>
  <w:style w:type="paragraph" w:customStyle="1" w:styleId="129">
    <w:name w:val="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3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31">
    <w:name w:val="00"/>
    <w:basedOn w:val="1"/>
    <w:qFormat/>
    <w:uiPriority w:val="0"/>
    <w:pPr>
      <w:autoSpaceDE w:val="0"/>
      <w:autoSpaceDN w:val="0"/>
      <w:adjustRightInd w:val="0"/>
      <w:jc w:val="left"/>
    </w:pPr>
    <w:rPr>
      <w:rFonts w:ascii="黑体" w:eastAsia="黑体"/>
      <w:b/>
      <w:kern w:val="0"/>
      <w:sz w:val="20"/>
    </w:rPr>
  </w:style>
  <w:style w:type="paragraph" w:customStyle="1" w:styleId="132">
    <w:name w:val="正文字缩2字"/>
    <w:basedOn w:val="1"/>
    <w:qFormat/>
    <w:uiPriority w:val="0"/>
    <w:pPr>
      <w:spacing w:before="60" w:beforeAutospacing="0" w:after="60" w:afterAutospacing="0" w:line="360" w:lineRule="auto"/>
      <w:ind w:left="200" w:leftChars="200" w:firstLine="200" w:firstLineChars="200"/>
    </w:pPr>
    <w:rPr>
      <w:sz w:val="24"/>
    </w:rPr>
  </w:style>
  <w:style w:type="paragraph" w:customStyle="1" w:styleId="133">
    <w:name w:val="bt"/>
    <w:basedOn w:val="1"/>
    <w:next w:val="22"/>
    <w:qFormat/>
    <w:uiPriority w:val="0"/>
    <w:pPr>
      <w:numPr>
        <w:ilvl w:val="0"/>
        <w:numId w:val="0"/>
      </w:numPr>
      <w:overflowPunct w:val="0"/>
      <w:autoSpaceDE w:val="0"/>
      <w:autoSpaceDN w:val="0"/>
      <w:adjustRightInd w:val="0"/>
      <w:snapToGrid w:val="0"/>
      <w:spacing w:before="100" w:beforeAutospacing="0" w:after="100" w:afterAutospacing="0" w:line="240" w:lineRule="atLeast"/>
      <w:ind w:left="2880" w:hanging="360"/>
      <w:textAlignment w:val="baseline"/>
    </w:pPr>
    <w:rPr>
      <w:rFonts w:ascii="宋体"/>
      <w:kern w:val="0"/>
      <w:sz w:val="20"/>
    </w:rPr>
  </w:style>
  <w:style w:type="paragraph" w:customStyle="1" w:styleId="134">
    <w:name w:val="正文1"/>
    <w:basedOn w:val="1"/>
    <w:qFormat/>
    <w:uiPriority w:val="0"/>
    <w:pPr>
      <w:spacing w:line="300" w:lineRule="auto"/>
      <w:ind w:firstLine="200" w:firstLineChars="200"/>
    </w:pPr>
    <w:rPr>
      <w:sz w:val="24"/>
    </w:rPr>
  </w:style>
  <w:style w:type="paragraph" w:customStyle="1" w:styleId="135">
    <w:name w:val="标题无"/>
    <w:basedOn w:val="1"/>
    <w:qFormat/>
    <w:uiPriority w:val="0"/>
    <w:pPr>
      <w:spacing w:line="360" w:lineRule="auto"/>
    </w:pPr>
    <w:rPr>
      <w:sz w:val="24"/>
    </w:rPr>
  </w:style>
  <w:style w:type="paragraph" w:customStyle="1" w:styleId="136">
    <w:name w:val="正文4"/>
    <w:basedOn w:val="1"/>
    <w:qFormat/>
    <w:uiPriority w:val="0"/>
    <w:pPr>
      <w:tabs>
        <w:tab w:val="left" w:pos="1275"/>
      </w:tabs>
      <w:spacing w:before="60" w:beforeAutospacing="0" w:after="60" w:afterAutospacing="0" w:line="360" w:lineRule="auto"/>
      <w:ind w:left="820" w:leftChars="400" w:hanging="705"/>
    </w:pPr>
    <w:rPr>
      <w:sz w:val="24"/>
    </w:rPr>
  </w:style>
  <w:style w:type="paragraph" w:customStyle="1" w:styleId="137">
    <w:name w:val="样式 正文首行缩进 2 + 首行缩进:  2 字符"/>
    <w:basedOn w:val="1"/>
    <w:qFormat/>
    <w:uiPriority w:val="0"/>
    <w:pPr>
      <w:numPr>
        <w:ilvl w:val="0"/>
        <w:numId w:val="11"/>
      </w:numPr>
      <w:adjustRightInd w:val="0"/>
      <w:snapToGrid w:val="0"/>
      <w:spacing w:line="360" w:lineRule="auto"/>
    </w:pPr>
    <w:rPr>
      <w:rFonts w:ascii="Arial" w:hAnsi="Arial"/>
      <w:b/>
      <w:sz w:val="24"/>
    </w:rPr>
  </w:style>
  <w:style w:type="paragraph" w:customStyle="1" w:styleId="138">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39">
    <w:name w:val="Body Text 2_a540e8a1-4ccb-4260-af79-fb65e9f20c69"/>
    <w:basedOn w:val="1"/>
    <w:qFormat/>
    <w:uiPriority w:val="0"/>
    <w:pPr>
      <w:adjustRightInd w:val="0"/>
      <w:spacing w:before="120" w:beforeAutospacing="0" w:line="360" w:lineRule="auto"/>
      <w:ind w:firstLine="480"/>
      <w:textAlignment w:val="baseline"/>
    </w:pPr>
    <w:rPr>
      <w:sz w:val="24"/>
    </w:rPr>
  </w:style>
  <w:style w:type="paragraph" w:customStyle="1" w:styleId="140">
    <w:name w:val=" Char"/>
    <w:basedOn w:val="1"/>
    <w:qFormat/>
    <w:uiPriority w:val="0"/>
    <w:pPr>
      <w:spacing w:line="240" w:lineRule="atLeast"/>
      <w:ind w:left="420" w:firstLine="420"/>
    </w:pPr>
    <w:rPr>
      <w:kern w:val="0"/>
      <w:sz w:val="21"/>
    </w:rPr>
  </w:style>
  <w:style w:type="paragraph" w:customStyle="1" w:styleId="141">
    <w:name w:val="_Style 138"/>
    <w:qFormat/>
    <w:uiPriority w:val="0"/>
    <w:rPr>
      <w:rFonts w:ascii="Times New Roman" w:hAnsi="Times New Roman" w:eastAsia="宋体" w:cs="Times New Roman"/>
      <w:kern w:val="2"/>
      <w:sz w:val="21"/>
      <w:lang w:val="en-US" w:eastAsia="zh-CN" w:bidi="ar-SA"/>
    </w:rPr>
  </w:style>
  <w:style w:type="paragraph" w:customStyle="1" w:styleId="142">
    <w:name w:val="文章正文"/>
    <w:basedOn w:val="1"/>
    <w:qFormat/>
    <w:uiPriority w:val="0"/>
    <w:pPr>
      <w:ind w:firstLine="560" w:firstLineChars="200"/>
    </w:pPr>
    <w:rPr>
      <w:rFonts w:ascii="仿宋_GB2312" w:hAnsi="宋体" w:eastAsia="仿宋_GB2312"/>
      <w:color w:val="000000"/>
    </w:rPr>
  </w:style>
  <w:style w:type="paragraph" w:customStyle="1" w:styleId="143">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4">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45">
    <w:name w:val="编号正文"/>
    <w:basedOn w:val="146"/>
    <w:qFormat/>
    <w:uiPriority w:val="0"/>
    <w:pPr>
      <w:snapToGrid/>
      <w:spacing w:line="360" w:lineRule="auto"/>
      <w:ind w:left="1407" w:hanging="1047"/>
      <w:jc w:val="left"/>
    </w:pPr>
    <w:rPr>
      <w:rFonts w:eastAsia="仿宋_GB2312"/>
    </w:rPr>
  </w:style>
  <w:style w:type="paragraph" w:customStyle="1" w:styleId="146">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47">
    <w:name w:val=" Char Char Char Char Char Char1 Char"/>
    <w:basedOn w:val="1"/>
    <w:qFormat/>
    <w:uiPriority w:val="0"/>
    <w:pPr>
      <w:widowControl/>
      <w:spacing w:after="160" w:afterAutospacing="0" w:line="240" w:lineRule="exact"/>
      <w:jc w:val="left"/>
    </w:pPr>
    <w:rPr>
      <w:rFonts w:ascii="Verdana" w:hAnsi="Verdana"/>
      <w:kern w:val="0"/>
      <w:sz w:val="21"/>
      <w:lang w:eastAsia="en-US"/>
    </w:rPr>
  </w:style>
  <w:style w:type="paragraph" w:customStyle="1" w:styleId="148">
    <w:name w:val="样式 首行缩进:  0.74 厘米"/>
    <w:basedOn w:val="1"/>
    <w:qFormat/>
    <w:uiPriority w:val="0"/>
    <w:pPr>
      <w:spacing w:line="360" w:lineRule="auto"/>
      <w:ind w:firstLine="420"/>
    </w:pPr>
    <w:rPr>
      <w:sz w:val="24"/>
    </w:rPr>
  </w:style>
  <w:style w:type="paragraph" w:customStyle="1" w:styleId="149">
    <w:name w:val="摘要"/>
    <w:basedOn w:val="1"/>
    <w:next w:val="3"/>
    <w:qFormat/>
    <w:uiPriority w:val="0"/>
    <w:pPr>
      <w:spacing w:line="360" w:lineRule="auto"/>
    </w:pPr>
    <w:rPr>
      <w:rFonts w:eastAsia="黑体"/>
      <w:sz w:val="20"/>
    </w:rPr>
  </w:style>
  <w:style w:type="paragraph" w:customStyle="1" w:styleId="150">
    <w:name w:val="样式 宋体 五号 行距: 单倍行距"/>
    <w:basedOn w:val="1"/>
    <w:qFormat/>
    <w:uiPriority w:val="0"/>
    <w:pPr>
      <w:adjustRightInd w:val="0"/>
      <w:jc w:val="left"/>
    </w:pPr>
    <w:rPr>
      <w:rFonts w:ascii="宋体" w:hAnsi="宋体"/>
      <w:kern w:val="0"/>
      <w:sz w:val="21"/>
    </w:rPr>
  </w:style>
  <w:style w:type="paragraph" w:customStyle="1" w:styleId="151">
    <w:name w:val="样式 行距: 1.5 倍行距1"/>
    <w:basedOn w:val="1"/>
    <w:qFormat/>
    <w:uiPriority w:val="0"/>
    <w:pPr>
      <w:snapToGrid w:val="0"/>
    </w:pPr>
    <w:rPr>
      <w:sz w:val="21"/>
    </w:rPr>
  </w:style>
  <w:style w:type="paragraph" w:customStyle="1" w:styleId="152">
    <w:name w:val="附录4"/>
    <w:basedOn w:val="1"/>
    <w:next w:val="1"/>
    <w:qFormat/>
    <w:uiPriority w:val="0"/>
    <w:pPr>
      <w:widowControl/>
      <w:numPr>
        <w:ilvl w:val="3"/>
        <w:numId w:val="0"/>
      </w:numPr>
      <w:tabs>
        <w:tab w:val="left" w:pos="1134"/>
      </w:tabs>
      <w:spacing w:line="300" w:lineRule="auto"/>
      <w:ind w:left="1361" w:hanging="1361"/>
      <w:outlineLvl w:val="3"/>
    </w:pPr>
    <w:rPr>
      <w:rFonts w:ascii="Arial" w:hAnsi="Arial" w:eastAsia="黑体"/>
      <w:kern w:val="0"/>
    </w:rPr>
  </w:style>
  <w:style w:type="paragraph" w:customStyle="1" w:styleId="153">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154">
    <w:name w:val="样式 正文缩进正文（首行缩进两字）表正文正文非缩进特点标题4段1 + 首行缩进:  2 字符"/>
    <w:basedOn w:val="15"/>
    <w:qFormat/>
    <w:uiPriority w:val="0"/>
    <w:pPr>
      <w:ind w:firstLine="480" w:firstLineChars="200"/>
    </w:pPr>
  </w:style>
  <w:style w:type="paragraph" w:customStyle="1" w:styleId="155">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56">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57">
    <w:name w:val=" Char Char Char"/>
    <w:basedOn w:val="1"/>
    <w:qFormat/>
    <w:uiPriority w:val="0"/>
    <w:rPr>
      <w:rFonts w:ascii="Tahoma" w:hAnsi="Tahoma"/>
      <w:sz w:val="24"/>
    </w:rPr>
  </w:style>
  <w:style w:type="paragraph" w:customStyle="1" w:styleId="158">
    <w:name w:val="样式2"/>
    <w:basedOn w:val="5"/>
    <w:qFormat/>
    <w:uiPriority w:val="0"/>
    <w:pPr>
      <w:numPr>
        <w:ilvl w:val="0"/>
        <w:numId w:val="13"/>
      </w:numPr>
      <w:spacing w:line="400" w:lineRule="exact"/>
      <w:jc w:val="center"/>
      <w:outlineLvl w:val="0"/>
    </w:pPr>
    <w:rPr>
      <w:b w:val="0"/>
      <w:sz w:val="44"/>
    </w:rPr>
  </w:style>
  <w:style w:type="paragraph" w:customStyle="1" w:styleId="159">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60">
    <w:name w:val=" Char Char 字元 字元 字元 Char Char Char Char"/>
    <w:basedOn w:val="1"/>
    <w:qFormat/>
    <w:uiPriority w:val="0"/>
    <w:pPr>
      <w:adjustRightInd w:val="0"/>
      <w:spacing w:line="360" w:lineRule="auto"/>
    </w:pPr>
    <w:rPr>
      <w:kern w:val="0"/>
      <w:sz w:val="24"/>
    </w:rPr>
  </w:style>
  <w:style w:type="paragraph" w:customStyle="1" w:styleId="161">
    <w:name w:val="项目"/>
    <w:basedOn w:val="1"/>
    <w:qFormat/>
    <w:uiPriority w:val="0"/>
    <w:pPr>
      <w:tabs>
        <w:tab w:val="left" w:pos="1280"/>
      </w:tabs>
      <w:spacing w:before="120" w:beforeAutospacing="0" w:after="120" w:afterAutospacing="0" w:line="360" w:lineRule="auto"/>
      <w:ind w:left="-7" w:firstLine="567"/>
      <w:jc w:val="left"/>
      <w:textAlignment w:val="baseline"/>
    </w:pPr>
    <w:rPr>
      <w:rFonts w:ascii="宋体"/>
      <w:kern w:val="0"/>
      <w:sz w:val="24"/>
    </w:rPr>
  </w:style>
  <w:style w:type="paragraph" w:customStyle="1" w:styleId="16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63">
    <w:name w:val=" Char1"/>
    <w:basedOn w:val="1"/>
    <w:qFormat/>
    <w:uiPriority w:val="0"/>
    <w:rPr>
      <w:sz w:val="21"/>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表头文本"/>
    <w:qFormat/>
    <w:uiPriority w:val="0"/>
    <w:pPr>
      <w:jc w:val="center"/>
    </w:pPr>
    <w:rPr>
      <w:rFonts w:ascii="Arial" w:hAnsi="Arial" w:eastAsia="宋体" w:cs="Times New Roman"/>
      <w:b/>
      <w:sz w:val="21"/>
      <w:lang w:val="en-US" w:eastAsia="zh-CN" w:bidi="ar-SA"/>
    </w:rPr>
  </w:style>
  <w:style w:type="paragraph" w:customStyle="1" w:styleId="166">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67">
    <w:name w:val="内容标题"/>
    <w:basedOn w:val="17"/>
    <w:qFormat/>
    <w:uiPriority w:val="0"/>
    <w:rPr>
      <w:rFonts w:ascii="Tahoma" w:hAnsi="Tahoma"/>
      <w:sz w:val="24"/>
    </w:rPr>
  </w:style>
  <w:style w:type="paragraph" w:customStyle="1" w:styleId="168">
    <w:name w:val="表头样式"/>
    <w:basedOn w:val="1"/>
    <w:qFormat/>
    <w:uiPriority w:val="0"/>
    <w:pPr>
      <w:autoSpaceDE w:val="0"/>
      <w:autoSpaceDN w:val="0"/>
      <w:adjustRightInd w:val="0"/>
      <w:spacing w:line="360" w:lineRule="auto"/>
      <w:jc w:val="left"/>
    </w:pPr>
    <w:rPr>
      <w:b/>
      <w:kern w:val="0"/>
      <w:sz w:val="21"/>
    </w:rPr>
  </w:style>
  <w:style w:type="paragraph" w:customStyle="1" w:styleId="169">
    <w:name w:val="1"/>
    <w:basedOn w:val="1"/>
    <w:qFormat/>
    <w:uiPriority w:val="0"/>
    <w:rPr>
      <w:rFonts w:ascii="Tahoma" w:hAnsi="Tahoma"/>
      <w:sz w:val="24"/>
    </w:rPr>
  </w:style>
  <w:style w:type="paragraph" w:customStyle="1" w:styleId="170">
    <w:name w:val="IN Step"/>
    <w:basedOn w:val="1"/>
    <w:qFormat/>
    <w:uiPriority w:val="0"/>
    <w:pPr>
      <w:keepLines/>
      <w:widowControl/>
      <w:tabs>
        <w:tab w:val="left" w:pos="1134"/>
      </w:tabs>
      <w:spacing w:before="80" w:beforeAutospacing="0" w:after="80" w:afterAutospacing="0" w:line="300" w:lineRule="auto"/>
      <w:ind w:left="1134" w:hanging="907"/>
      <w:outlineLvl w:val="8"/>
    </w:pPr>
    <w:rPr>
      <w:rFonts w:ascii="Arial" w:hAnsi="Arial"/>
      <w:kern w:val="0"/>
      <w:sz w:val="21"/>
    </w:rPr>
  </w:style>
  <w:style w:type="paragraph" w:customStyle="1" w:styleId="171">
    <w:name w:val="简单回函地址"/>
    <w:basedOn w:val="1"/>
    <w:qFormat/>
    <w:uiPriority w:val="0"/>
    <w:pPr>
      <w:adjustRightInd w:val="0"/>
      <w:snapToGrid w:val="0"/>
      <w:spacing w:line="360" w:lineRule="auto"/>
    </w:pPr>
    <w:rPr>
      <w:sz w:val="24"/>
    </w:rPr>
  </w:style>
  <w:style w:type="paragraph" w:customStyle="1" w:styleId="172">
    <w:name w:val="正文 + 三号"/>
    <w:basedOn w:val="1"/>
    <w:qFormat/>
    <w:uiPriority w:val="0"/>
    <w:rPr>
      <w:rFonts w:eastAsia="宋体"/>
      <w:kern w:val="2"/>
      <w:sz w:val="21"/>
      <w:lang w:val="en-US" w:eastAsia="zh-CN"/>
    </w:rPr>
  </w:style>
  <w:style w:type="paragraph" w:customStyle="1" w:styleId="173">
    <w:name w:val="图标"/>
    <w:basedOn w:val="1"/>
    <w:next w:val="1"/>
    <w:qFormat/>
    <w:uiPriority w:val="0"/>
    <w:pPr>
      <w:tabs>
        <w:tab w:val="left" w:pos="420"/>
        <w:tab w:val="left" w:pos="567"/>
        <w:tab w:val="left" w:pos="720"/>
      </w:tabs>
      <w:autoSpaceDE w:val="0"/>
      <w:autoSpaceDN w:val="0"/>
      <w:adjustRightInd w:val="0"/>
      <w:snapToGrid w:val="0"/>
      <w:spacing w:before="120" w:beforeAutospacing="0" w:after="120" w:afterAutospacing="0" w:line="320" w:lineRule="atLeast"/>
      <w:ind w:left="420" w:hanging="420"/>
      <w:jc w:val="center"/>
      <w:textAlignment w:val="baseline"/>
    </w:pPr>
    <w:rPr>
      <w:rFonts w:eastAsia="仿宋_GB2312"/>
      <w:kern w:val="0"/>
      <w:sz w:val="24"/>
    </w:rPr>
  </w:style>
  <w:style w:type="paragraph" w:customStyle="1" w:styleId="174">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75">
    <w:name w:val="默认段落字体 Para Char Char Char Char Char Char Char"/>
    <w:basedOn w:val="1"/>
    <w:qFormat/>
    <w:uiPriority w:val="0"/>
    <w:rPr>
      <w:rFonts w:ascii="Tahoma" w:hAnsi="Tahoma"/>
      <w:sz w:val="24"/>
    </w:rPr>
  </w:style>
  <w:style w:type="paragraph" w:customStyle="1" w:styleId="176">
    <w:name w:val="正文表格"/>
    <w:basedOn w:val="1"/>
    <w:qFormat/>
    <w:uiPriority w:val="0"/>
    <w:pPr>
      <w:adjustRightInd w:val="0"/>
      <w:spacing w:before="40" w:beforeAutospacing="0" w:after="40" w:afterAutospacing="0"/>
    </w:pPr>
    <w:rPr>
      <w:sz w:val="24"/>
    </w:rPr>
  </w:style>
  <w:style w:type="paragraph" w:customStyle="1" w:styleId="177">
    <w:name w:val="附录3"/>
    <w:basedOn w:val="1"/>
    <w:next w:val="1"/>
    <w:qFormat/>
    <w:uiPriority w:val="0"/>
    <w:pPr>
      <w:numPr>
        <w:ilvl w:val="2"/>
        <w:numId w:val="0"/>
      </w:numPr>
      <w:tabs>
        <w:tab w:val="left" w:pos="851"/>
      </w:tabs>
      <w:ind w:left="425" w:hanging="425"/>
      <w:outlineLvl w:val="2"/>
    </w:pPr>
    <w:rPr>
      <w:rFonts w:eastAsia="黑体"/>
      <w:b/>
      <w:sz w:val="32"/>
    </w:rPr>
  </w:style>
  <w:style w:type="paragraph" w:customStyle="1" w:styleId="178">
    <w:name w:val="图例"/>
    <w:basedOn w:val="1"/>
    <w:qFormat/>
    <w:uiPriority w:val="0"/>
    <w:pPr>
      <w:spacing w:before="120" w:beforeAutospacing="0" w:after="120" w:afterAutospacing="0" w:line="360" w:lineRule="auto"/>
      <w:jc w:val="center"/>
    </w:pPr>
    <w:rPr>
      <w:rFonts w:eastAsia="仿宋_GB2312"/>
      <w:b/>
      <w:sz w:val="24"/>
    </w:rPr>
  </w:style>
  <w:style w:type="paragraph" w:customStyle="1" w:styleId="179">
    <w:name w:val="Title - Date"/>
    <w:basedOn w:val="55"/>
    <w:next w:val="1"/>
    <w:qFormat/>
    <w:uiPriority w:val="0"/>
    <w:pPr>
      <w:spacing w:before="240" w:beforeAutospacing="0" w:after="720" w:afterAutospacing="0"/>
    </w:pPr>
    <w:rPr>
      <w:sz w:val="28"/>
    </w:rPr>
  </w:style>
  <w:style w:type="paragraph" w:customStyle="1" w:styleId="180">
    <w:name w:val="样式 样式 正文首行缩进 2 + 左  0 字符 + 首行缩进:  2.57 字符"/>
    <w:basedOn w:val="1"/>
    <w:next w:val="1"/>
    <w:qFormat/>
    <w:uiPriority w:val="0"/>
    <w:pPr>
      <w:adjustRightInd w:val="0"/>
      <w:snapToGrid w:val="0"/>
      <w:spacing w:after="120" w:afterAutospacing="0"/>
      <w:ind w:firstLine="540" w:firstLineChars="257"/>
    </w:pPr>
    <w:rPr>
      <w:sz w:val="21"/>
    </w:rPr>
  </w:style>
  <w:style w:type="paragraph" w:customStyle="1" w:styleId="18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8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83">
    <w:name w:val="_"/>
    <w:basedOn w:val="1"/>
    <w:qFormat/>
    <w:uiPriority w:val="0"/>
    <w:pPr>
      <w:adjustRightInd w:val="0"/>
      <w:spacing w:line="360" w:lineRule="auto"/>
      <w:ind w:left="480" w:firstLine="200" w:firstLineChars="200"/>
      <w:textAlignment w:val="baseline"/>
    </w:pPr>
    <w:rPr>
      <w:kern w:val="0"/>
      <w:sz w:val="24"/>
    </w:rPr>
  </w:style>
  <w:style w:type="paragraph" w:customStyle="1" w:styleId="184">
    <w:name w:val=" Char Char Char Char Char"/>
    <w:basedOn w:val="1"/>
    <w:qFormat/>
    <w:uiPriority w:val="0"/>
    <w:pPr>
      <w:numPr>
        <w:ilvl w:val="0"/>
        <w:numId w:val="8"/>
      </w:numPr>
    </w:pPr>
    <w:rPr>
      <w:rFonts w:ascii="Tahoma" w:hAnsi="Tahoma"/>
      <w:sz w:val="24"/>
    </w:rPr>
  </w:style>
  <w:style w:type="paragraph" w:customStyle="1" w:styleId="185">
    <w:name w:val="章标题"/>
    <w:next w:val="1"/>
    <w:qFormat/>
    <w:uiPriority w:val="0"/>
    <w:pPr>
      <w:numPr>
        <w:ilvl w:val="1"/>
        <w:numId w:val="14"/>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86">
    <w:name w:val=" Char1 Char Char Char"/>
    <w:basedOn w:val="1"/>
    <w:qFormat/>
    <w:uiPriority w:val="0"/>
    <w:rPr>
      <w:rFonts w:ascii="Tahoma" w:hAnsi="Tahoma"/>
      <w:sz w:val="24"/>
    </w:rPr>
  </w:style>
  <w:style w:type="paragraph" w:customStyle="1" w:styleId="187">
    <w:name w:val="样式 标题 1 + 居中 段前: 6 磅 段后: 6 磅 行距: 1.5 倍行距"/>
    <w:basedOn w:val="2"/>
    <w:qFormat/>
    <w:uiPriority w:val="0"/>
    <w:pPr>
      <w:keepLines/>
      <w:tabs>
        <w:tab w:val="clear" w:pos="3360"/>
      </w:tabs>
      <w:adjustRightInd w:val="0"/>
      <w:spacing w:before="120" w:beforeAutospacing="0" w:line="360" w:lineRule="auto"/>
    </w:pPr>
    <w:rPr>
      <w:rFonts w:eastAsia="宋体"/>
      <w:b/>
      <w:kern w:val="44"/>
      <w:sz w:val="32"/>
    </w:rPr>
  </w:style>
  <w:style w:type="paragraph" w:customStyle="1" w:styleId="188">
    <w:name w:val="样式4"/>
    <w:basedOn w:val="5"/>
    <w:qFormat/>
    <w:uiPriority w:val="0"/>
    <w:pPr>
      <w:numPr>
        <w:ilvl w:val="0"/>
        <w:numId w:val="0"/>
      </w:numPr>
      <w:adjustRightInd w:val="0"/>
      <w:snapToGrid w:val="0"/>
      <w:spacing w:before="280" w:beforeAutospacing="0" w:line="372" w:lineRule="auto"/>
    </w:pPr>
  </w:style>
  <w:style w:type="paragraph" w:customStyle="1" w:styleId="189">
    <w:name w:val="普通正文"/>
    <w:basedOn w:val="1"/>
    <w:qFormat/>
    <w:uiPriority w:val="0"/>
    <w:pPr>
      <w:adjustRightInd w:val="0"/>
      <w:spacing w:before="120" w:beforeAutospacing="0" w:after="120" w:afterAutospacing="0" w:line="360" w:lineRule="auto"/>
      <w:ind w:firstLine="480"/>
      <w:jc w:val="left"/>
      <w:textAlignment w:val="baseline"/>
    </w:pPr>
    <w:rPr>
      <w:rFonts w:ascii="Arial" w:hAnsi="Arial"/>
      <w:kern w:val="0"/>
      <w:sz w:val="24"/>
    </w:rPr>
  </w:style>
  <w:style w:type="paragraph" w:customStyle="1" w:styleId="190">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1">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2">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93">
    <w:name w:val=" Char Char Char Char Char Char Char Char Char Char Char Char Char"/>
    <w:basedOn w:val="1"/>
    <w:qFormat/>
    <w:uiPriority w:val="0"/>
    <w:pPr>
      <w:widowControl/>
      <w:spacing w:after="160" w:afterAutospacing="0" w:line="240" w:lineRule="exact"/>
      <w:jc w:val="left"/>
    </w:pPr>
    <w:rPr>
      <w:rFonts w:ascii="Verdana" w:hAnsi="Verdana" w:eastAsia="仿宋_GB2312"/>
      <w:kern w:val="0"/>
      <w:sz w:val="24"/>
      <w:lang w:eastAsia="en-US"/>
    </w:rPr>
  </w:style>
  <w:style w:type="paragraph" w:customStyle="1" w:styleId="194">
    <w:name w:val="Char"/>
    <w:basedOn w:val="1"/>
    <w:qFormat/>
    <w:uiPriority w:val="0"/>
    <w:pPr>
      <w:widowControl/>
      <w:spacing w:line="400" w:lineRule="exact"/>
      <w:jc w:val="center"/>
    </w:pPr>
    <w:rPr>
      <w:sz w:val="24"/>
    </w:rPr>
  </w:style>
  <w:style w:type="paragraph" w:customStyle="1" w:styleId="19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Autospacing="0" w:after="240" w:afterAutospacing="0" w:line="288" w:lineRule="auto"/>
      <w:ind w:left="144" w:right="144"/>
      <w:jc w:val="center"/>
    </w:pPr>
    <w:rPr>
      <w:b/>
      <w:i/>
      <w:sz w:val="24"/>
    </w:rPr>
  </w:style>
  <w:style w:type="paragraph" w:customStyle="1" w:styleId="196">
    <w:name w:val="Body Text Indent 2_de862ee9-7419-4499-b7c2-749721672e50"/>
    <w:basedOn w:val="1"/>
    <w:qFormat/>
    <w:uiPriority w:val="0"/>
    <w:pPr>
      <w:adjustRightInd w:val="0"/>
      <w:spacing w:before="120" w:beforeAutospacing="0"/>
      <w:ind w:firstLine="420"/>
      <w:textAlignment w:val="baseline"/>
    </w:pPr>
    <w:rPr>
      <w:sz w:val="24"/>
    </w:rPr>
  </w:style>
  <w:style w:type="paragraph" w:customStyle="1" w:styleId="197">
    <w:name w:val="没有缩进（为图形使用）"/>
    <w:basedOn w:val="1"/>
    <w:qFormat/>
    <w:uiPriority w:val="0"/>
    <w:pPr>
      <w:spacing w:before="120" w:beforeAutospacing="0" w:after="120" w:afterAutospacing="0" w:line="360" w:lineRule="auto"/>
    </w:pPr>
    <w:rPr>
      <w:sz w:val="24"/>
    </w:rPr>
  </w:style>
  <w:style w:type="paragraph" w:customStyle="1" w:styleId="198">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99">
    <w:name w:val="Item Step in Table"/>
    <w:qFormat/>
    <w:uiPriority w:val="0"/>
    <w:pPr>
      <w:numPr>
        <w:ilvl w:val="0"/>
        <w:numId w:val="15"/>
      </w:numPr>
      <w:spacing w:before="40" w:after="40"/>
      <w:jc w:val="both"/>
    </w:pPr>
    <w:rPr>
      <w:rFonts w:ascii="Arial" w:hAnsi="Arial" w:eastAsia="宋体" w:cs="Times New Roman"/>
      <w:sz w:val="18"/>
      <w:lang w:val="en-US" w:eastAsia="zh-CN" w:bidi="ar-SA"/>
    </w:rPr>
  </w:style>
  <w:style w:type="paragraph" w:customStyle="1" w:styleId="200">
    <w:name w:val="Char1 Char Char Char"/>
    <w:basedOn w:val="1"/>
    <w:qFormat/>
    <w:uiPriority w:val="0"/>
    <w:rPr>
      <w:rFonts w:ascii="Tahoma" w:hAnsi="Tahoma"/>
      <w:sz w:val="21"/>
    </w:rPr>
  </w:style>
  <w:style w:type="paragraph" w:customStyle="1" w:styleId="201">
    <w:name w:val="Char Char Char Char Char Char Char"/>
    <w:basedOn w:val="17"/>
    <w:qFormat/>
    <w:uiPriority w:val="0"/>
    <w:rPr>
      <w:rFonts w:ascii="宋体" w:hAnsi="Tahoma"/>
    </w:rPr>
  </w:style>
  <w:style w:type="paragraph" w:customStyle="1" w:styleId="202">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3">
    <w:name w:val="样式1"/>
    <w:basedOn w:val="5"/>
    <w:qFormat/>
    <w:uiPriority w:val="0"/>
    <w:pPr>
      <w:spacing w:before="500" w:after="260" w:line="560" w:lineRule="atLeast"/>
    </w:pPr>
  </w:style>
  <w:style w:type="paragraph" w:customStyle="1" w:styleId="204">
    <w:name w:val="二级列表"/>
    <w:basedOn w:val="192"/>
    <w:next w:val="192"/>
    <w:qFormat/>
    <w:uiPriority w:val="0"/>
    <w:pPr>
      <w:tabs>
        <w:tab w:val="left" w:pos="2120"/>
      </w:tabs>
      <w:ind w:firstLine="0" w:firstLineChars="0"/>
    </w:pPr>
    <w:rPr>
      <w:b/>
    </w:rPr>
  </w:style>
  <w:style w:type="paragraph" w:customStyle="1" w:styleId="205">
    <w:name w:val="可研正文"/>
    <w:basedOn w:val="22"/>
    <w:qFormat/>
    <w:uiPriority w:val="0"/>
    <w:pPr>
      <w:adjustRightInd w:val="0"/>
      <w:snapToGrid w:val="0"/>
      <w:spacing w:line="440" w:lineRule="exact"/>
      <w:ind w:firstLine="567"/>
    </w:pPr>
    <w:rPr>
      <w:sz w:val="28"/>
    </w:rPr>
  </w:style>
  <w:style w:type="paragraph" w:customStyle="1" w:styleId="206">
    <w:name w:val="默认段落字体 Para Char Char Char Char Char Char Char Char Char1 Char Char Char Char"/>
    <w:basedOn w:val="1"/>
    <w:qFormat/>
    <w:uiPriority w:val="0"/>
    <w:rPr>
      <w:rFonts w:ascii="Tahoma" w:hAnsi="Tahoma"/>
      <w:sz w:val="24"/>
    </w:rPr>
  </w:style>
  <w:style w:type="paragraph" w:customStyle="1" w:styleId="207">
    <w:name w:val=" Char Char1 Char"/>
    <w:basedOn w:val="1"/>
    <w:qFormat/>
    <w:uiPriority w:val="0"/>
    <w:rPr>
      <w:rFonts w:ascii="Tahoma" w:hAnsi="Tahoma"/>
      <w:sz w:val="24"/>
      <w:szCs w:val="24"/>
    </w:rPr>
  </w:style>
  <w:style w:type="paragraph" w:customStyle="1" w:styleId="208">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9">
    <w:name w:val="Note"/>
    <w:basedOn w:val="1"/>
    <w:qFormat/>
    <w:uiPriority w:val="0"/>
    <w:pPr>
      <w:pBdr>
        <w:top w:val="single" w:color="auto" w:sz="12" w:space="3"/>
        <w:bottom w:val="single" w:color="auto" w:sz="12" w:space="3"/>
      </w:pBdr>
      <w:spacing w:line="360" w:lineRule="auto"/>
    </w:pPr>
    <w:rPr>
      <w:sz w:val="24"/>
    </w:rPr>
  </w:style>
  <w:style w:type="paragraph" w:customStyle="1" w:styleId="210">
    <w:name w:val="文本1"/>
    <w:basedOn w:val="1"/>
    <w:qFormat/>
    <w:uiPriority w:val="0"/>
    <w:pPr>
      <w:adjustRightInd w:val="0"/>
      <w:spacing w:line="312" w:lineRule="atLeast"/>
      <w:jc w:val="center"/>
      <w:textAlignment w:val="baseline"/>
    </w:pPr>
    <w:rPr>
      <w:kern w:val="0"/>
      <w:sz w:val="18"/>
    </w:rPr>
  </w:style>
  <w:style w:type="paragraph" w:customStyle="1" w:styleId="211">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212">
    <w:name w:val="文本框样式1"/>
    <w:basedOn w:val="1"/>
    <w:qFormat/>
    <w:uiPriority w:val="0"/>
    <w:pPr>
      <w:adjustRightInd w:val="0"/>
      <w:snapToGrid w:val="0"/>
      <w:spacing w:before="60" w:beforeAutospacing="0" w:line="180" w:lineRule="exact"/>
      <w:jc w:val="center"/>
    </w:pPr>
    <w:rPr>
      <w:sz w:val="21"/>
    </w:rPr>
  </w:style>
  <w:style w:type="paragraph" w:customStyle="1" w:styleId="213">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14">
    <w:name w:val="样式1xz"/>
    <w:basedOn w:val="1"/>
    <w:qFormat/>
    <w:uiPriority w:val="0"/>
    <w:pPr>
      <w:tabs>
        <w:tab w:val="left" w:pos="1050"/>
        <w:tab w:val="right" w:leader="dot" w:pos="8296"/>
      </w:tabs>
    </w:pPr>
    <w:rPr>
      <w:caps/>
      <w:spacing w:val="20"/>
      <w:sz w:val="24"/>
    </w:rPr>
  </w:style>
  <w:style w:type="paragraph" w:customStyle="1" w:styleId="215">
    <w:name w:val="IN Feature"/>
    <w:next w:val="170"/>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16">
    <w:name w:val="首行缩进 1"/>
    <w:basedOn w:val="1"/>
    <w:qFormat/>
    <w:uiPriority w:val="0"/>
    <w:pPr>
      <w:spacing w:after="120" w:afterAutospacing="0" w:line="360" w:lineRule="auto"/>
      <w:ind w:firstLine="200" w:firstLineChars="200"/>
    </w:pPr>
    <w:rPr>
      <w:sz w:val="24"/>
    </w:rPr>
  </w:style>
  <w:style w:type="paragraph" w:customStyle="1" w:styleId="217">
    <w:name w:val="表文字"/>
    <w:qFormat/>
    <w:uiPriority w:val="0"/>
    <w:rPr>
      <w:rFonts w:ascii="宋体" w:hAnsi="Times New Roman" w:eastAsia="宋体" w:cs="Times New Roman"/>
      <w:kern w:val="2"/>
      <w:lang w:val="en-US" w:eastAsia="zh-CN" w:bidi="ar-SA"/>
    </w:rPr>
  </w:style>
  <w:style w:type="character" w:customStyle="1" w:styleId="218">
    <w:name w:val="批注文字 Char1"/>
    <w:qFormat/>
    <w:uiPriority w:val="0"/>
    <w:rPr>
      <w:rFonts w:eastAsia="PMingLiU"/>
      <w:sz w:val="24"/>
      <w:lang w:eastAsia="zh-TW"/>
    </w:rPr>
  </w:style>
  <w:style w:type="character" w:customStyle="1" w:styleId="219">
    <w:name w:val="layui-laypage-curr"/>
    <w:basedOn w:val="61"/>
    <w:qFormat/>
    <w:uiPriority w:val="0"/>
  </w:style>
  <w:style w:type="character" w:customStyle="1" w:styleId="220">
    <w:name w:val="hover13"/>
    <w:basedOn w:val="61"/>
    <w:qFormat/>
    <w:uiPriority w:val="0"/>
  </w:style>
  <w:style w:type="character" w:customStyle="1" w:styleId="221">
    <w:name w:val="label"/>
    <w:basedOn w:val="61"/>
    <w:qFormat/>
    <w:uiPriority w:val="0"/>
    <w:rPr>
      <w:color w:val="999999"/>
    </w:rPr>
  </w:style>
  <w:style w:type="character" w:customStyle="1" w:styleId="222">
    <w:name w:val="hover"/>
    <w:basedOn w:val="61"/>
    <w:qFormat/>
    <w:uiPriority w:val="0"/>
  </w:style>
  <w:style w:type="character" w:customStyle="1" w:styleId="223">
    <w:name w:val="hover12"/>
    <w:basedOn w:val="61"/>
    <w:qFormat/>
    <w:uiPriority w:val="0"/>
  </w:style>
  <w:style w:type="character" w:customStyle="1" w:styleId="224">
    <w:name w:val="hover11"/>
    <w:basedOn w:val="61"/>
    <w:qFormat/>
    <w:uiPriority w:val="0"/>
  </w:style>
  <w:style w:type="character" w:customStyle="1" w:styleId="225">
    <w:name w:val="hover10"/>
    <w:basedOn w:val="61"/>
    <w:qFormat/>
    <w:uiPriority w:val="0"/>
  </w:style>
  <w:style w:type="paragraph" w:customStyle="1" w:styleId="226">
    <w:name w:val="Normal Indent1"/>
    <w:basedOn w:val="1"/>
    <w:qFormat/>
    <w:uiPriority w:val="0"/>
    <w:pPr>
      <w:adjustRightInd w:val="0"/>
      <w:snapToGrid w:val="0"/>
      <w:spacing w:line="360" w:lineRule="auto"/>
      <w:ind w:firstLine="420"/>
    </w:pPr>
    <w:rPr>
      <w:rFonts w:ascii="Times New Roman" w:hAnsi="Times New Roman"/>
      <w:sz w:val="24"/>
      <w:szCs w:val="20"/>
    </w:rPr>
  </w:style>
  <w:style w:type="paragraph" w:styleId="227">
    <w:name w:val="List Paragraph"/>
    <w:basedOn w:val="1"/>
    <w:qFormat/>
    <w:uiPriority w:val="34"/>
    <w:pPr>
      <w:ind w:firstLine="420" w:firstLineChars="200"/>
    </w:pPr>
  </w:style>
  <w:style w:type="character" w:customStyle="1" w:styleId="228">
    <w:name w:val="font41"/>
    <w:basedOn w:val="61"/>
    <w:qFormat/>
    <w:uiPriority w:val="0"/>
    <w:rPr>
      <w:rFonts w:hint="eastAsia" w:ascii="微软雅黑" w:hAnsi="微软雅黑" w:eastAsia="微软雅黑" w:cs="微软雅黑"/>
      <w:b/>
      <w:bCs/>
      <w:color w:val="FF0000"/>
      <w:sz w:val="23"/>
      <w:szCs w:val="23"/>
      <w:u w:val="none"/>
    </w:rPr>
  </w:style>
  <w:style w:type="paragraph" w:customStyle="1" w:styleId="229">
    <w:name w:val="列表段落1"/>
    <w:basedOn w:val="1"/>
    <w:qFormat/>
    <w:uiPriority w:val="0"/>
    <w:pPr>
      <w:ind w:firstLine="420" w:firstLineChars="200"/>
    </w:pPr>
    <w:rPr>
      <w:rFonts w:ascii="宋体"/>
      <w:kern w:val="0"/>
      <w:sz w:val="34"/>
    </w:rPr>
  </w:style>
  <w:style w:type="character" w:customStyle="1" w:styleId="230">
    <w:name w:val="ellipsis"/>
    <w:basedOn w:val="61"/>
    <w:qFormat/>
    <w:uiPriority w:val="0"/>
  </w:style>
  <w:style w:type="character" w:customStyle="1" w:styleId="231">
    <w:name w:val="first-child"/>
    <w:basedOn w:val="61"/>
    <w:qFormat/>
    <w:uiPriority w:val="0"/>
  </w:style>
  <w:style w:type="character" w:customStyle="1" w:styleId="232">
    <w:name w:val="first-child1"/>
    <w:basedOn w:val="61"/>
    <w:qFormat/>
    <w:uiPriority w:val="0"/>
  </w:style>
  <w:style w:type="character" w:customStyle="1" w:styleId="233">
    <w:name w:val="layui-laydate-preview"/>
    <w:basedOn w:val="61"/>
    <w:qFormat/>
    <w:uiPriority w:val="0"/>
  </w:style>
  <w:style w:type="character" w:customStyle="1" w:styleId="234">
    <w:name w:val="layui-this4"/>
    <w:basedOn w:val="61"/>
    <w:qFormat/>
    <w:uiPriority w:val="0"/>
    <w:rPr>
      <w:shd w:val="clear" w:color="auto" w:fill="FFFFFF"/>
    </w:rPr>
  </w:style>
  <w:style w:type="character" w:customStyle="1" w:styleId="235">
    <w:name w:val="last-child1"/>
    <w:basedOn w:val="61"/>
    <w:qFormat/>
    <w:uiPriority w:val="0"/>
  </w:style>
  <w:style w:type="character" w:customStyle="1" w:styleId="236">
    <w:name w:val="hover16"/>
    <w:basedOn w:val="61"/>
    <w:qFormat/>
    <w:uiPriority w:val="0"/>
  </w:style>
  <w:style w:type="character" w:customStyle="1" w:styleId="237">
    <w:name w:val="hover17"/>
    <w:basedOn w:val="61"/>
    <w:qFormat/>
    <w:uiPriority w:val="0"/>
    <w:rPr>
      <w:color w:val="FFFFFF"/>
    </w:rPr>
  </w:style>
  <w:style w:type="character" w:customStyle="1" w:styleId="238">
    <w:name w:val="hover18"/>
    <w:basedOn w:val="61"/>
    <w:qFormat/>
    <w:uiPriority w:val="0"/>
    <w:rPr>
      <w:shd w:val="clear" w:color="auto" w:fill="E5E5E5"/>
    </w:rPr>
  </w:style>
  <w:style w:type="character" w:customStyle="1" w:styleId="239">
    <w:name w:val="hover19"/>
    <w:basedOn w:val="61"/>
    <w:qFormat/>
    <w:uiPriority w:val="0"/>
    <w:rPr>
      <w:color w:val="16B777"/>
    </w:rPr>
  </w:style>
  <w:style w:type="character" w:customStyle="1" w:styleId="240">
    <w:name w:val="hover20"/>
    <w:basedOn w:val="61"/>
    <w:qFormat/>
    <w:uiPriority w:val="0"/>
    <w:rPr>
      <w:color w:val="16B777"/>
    </w:rPr>
  </w:style>
  <w:style w:type="character" w:customStyle="1" w:styleId="241">
    <w:name w:val="hover1"/>
    <w:basedOn w:val="61"/>
    <w:qFormat/>
    <w:uiPriority w:val="0"/>
    <w:rPr>
      <w:color w:val="16B777"/>
    </w:rPr>
  </w:style>
  <w:style w:type="character" w:customStyle="1" w:styleId="242">
    <w:name w:val="hover2"/>
    <w:basedOn w:val="61"/>
    <w:qFormat/>
    <w:uiPriority w:val="0"/>
  </w:style>
  <w:style w:type="character" w:customStyle="1" w:styleId="243">
    <w:name w:val="hover3"/>
    <w:basedOn w:val="61"/>
    <w:qFormat/>
    <w:uiPriority w:val="0"/>
    <w:rPr>
      <w:color w:val="FFFFFF"/>
    </w:rPr>
  </w:style>
  <w:style w:type="character" w:customStyle="1" w:styleId="244">
    <w:name w:val="hover4"/>
    <w:basedOn w:val="61"/>
    <w:qFormat/>
    <w:uiPriority w:val="0"/>
    <w:rPr>
      <w:shd w:val="clear" w:color="auto" w:fill="E5E5E5"/>
    </w:rPr>
  </w:style>
  <w:style w:type="character" w:customStyle="1" w:styleId="245">
    <w:name w:val="first-child2"/>
    <w:basedOn w:val="61"/>
    <w:qFormat/>
    <w:uiPriority w:val="0"/>
  </w:style>
  <w:style w:type="character" w:customStyle="1" w:styleId="246">
    <w:name w:val="layui-this3"/>
    <w:basedOn w:val="61"/>
    <w:qFormat/>
    <w:uiPriority w:val="0"/>
    <w:rPr>
      <w:shd w:val="clear" w:color="auto" w:fill="FFFFFF"/>
    </w:rPr>
  </w:style>
  <w:style w:type="paragraph" w:customStyle="1" w:styleId="247">
    <w:name w:val="表格内"/>
    <w:basedOn w:val="1"/>
    <w:qFormat/>
    <w:uiPriority w:val="0"/>
    <w:pPr>
      <w:adjustRightInd w:val="0"/>
      <w:snapToGrid w:val="0"/>
    </w:pPr>
    <w:rPr>
      <w:rFonts w:eastAsia="仿宋"/>
      <w:sz w:val="24"/>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mcd:customData xmlns:mcd="http://www.wps.cn/android/officeDocument/2013/mofficeCustomData" xmlns="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865e38-ebe3-4c6e-bb0b-7848f6fa835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93</Pages>
  <Words>3814</Words>
  <Characters>4143</Characters>
  <DocSecurity>0</DocSecurity>
  <Paragraphs>1911</Paragraphs>
  <ScaleCrop>false</ScaleCrop>
  <LinksUpToDate>false</LinksUpToDate>
  <CharactersWithSpaces>4345</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2017-02-16T08:40:00Z</cp:lastPrinted>
  <dcterms:created xsi:type="dcterms:W3CDTF">2022-06-13T08:33:00Z</dcterms:created>
  <dcterms:modified xsi:type="dcterms:W3CDTF">2025-09-09T06:26:59Z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62AA9E5067894AA68916AF79C2806192_13</vt:lpwstr>
  </property>
  <property fmtid="{D5CDD505-2E9C-101B-9397-08002B2CF9AE}" pid="4" name="KSOTemplateDocerSaveRecord">
    <vt:lpwstr>eyJoZGlkIjoiOGI4NjI5OTBmMDM1ODFlMDkzNDFlZTFiMWNhZWU5ZTMiLCJ1c2VySWQiOiIxMjM3OTcyNjUzIn0=</vt:lpwstr>
  </property>
</Properties>
</file>